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05F55" w:rsidRDefault="00405F55">
      <w:pPr>
        <w:spacing w:line="1" w:lineRule="exact"/>
        <w:rPr>
          <w:rFonts w:eastAsia="宋体"/>
          <w:lang w:eastAsia="zh-CN"/>
        </w:rPr>
      </w:pPr>
    </w:p>
    <w:p w:rsidR="00405F55" w:rsidRDefault="00405F55">
      <w:pPr>
        <w:spacing w:line="1" w:lineRule="exact"/>
        <w:rPr>
          <w:rFonts w:eastAsia="宋体"/>
          <w:lang w:eastAsia="zh-CN"/>
        </w:rPr>
        <w:sectPr w:rsidR="00405F55">
          <w:headerReference w:type="even" r:id="rId9"/>
          <w:headerReference w:type="default" r:id="rId10"/>
          <w:footerReference w:type="even" r:id="rId11"/>
          <w:footerReference w:type="default" r:id="rId12"/>
          <w:headerReference w:type="first" r:id="rId13"/>
          <w:footerReference w:type="first" r:id="rId14"/>
          <w:pgSz w:w="11900" w:h="16840"/>
          <w:pgMar w:top="1457" w:right="1314" w:bottom="1347" w:left="1316" w:header="0" w:footer="340" w:gutter="0"/>
          <w:pgNumType w:start="1"/>
          <w:cols w:space="720"/>
          <w:titlePg/>
          <w:docGrid w:linePitch="360"/>
        </w:sectPr>
      </w:pPr>
    </w:p>
    <w:p w:rsidR="00405F55" w:rsidRDefault="00000000">
      <w:pPr>
        <w:pStyle w:val="11"/>
        <w:keepNext/>
        <w:keepLines/>
        <w:rPr>
          <w:b/>
          <w:bCs/>
          <w:sz w:val="52"/>
          <w:szCs w:val="52"/>
        </w:rPr>
      </w:pPr>
      <w:bookmarkStart w:id="0" w:name="_Toc1391"/>
      <w:bookmarkStart w:id="1" w:name="bookmark0"/>
      <w:bookmarkStart w:id="2" w:name="_Toc26072"/>
      <w:bookmarkStart w:id="3" w:name="_Toc12244"/>
      <w:r>
        <w:rPr>
          <w:b/>
          <w:bCs/>
          <w:sz w:val="52"/>
          <w:szCs w:val="52"/>
        </w:rPr>
        <w:t>第三次全国土壤普查技术规程</w:t>
      </w:r>
      <w:r>
        <w:rPr>
          <w:b/>
          <w:bCs/>
          <w:sz w:val="52"/>
          <w:szCs w:val="52"/>
        </w:rPr>
        <w:br/>
        <w:t>（修订版）</w:t>
      </w:r>
      <w:bookmarkEnd w:id="0"/>
      <w:bookmarkEnd w:id="1"/>
      <w:bookmarkEnd w:id="2"/>
      <w:bookmarkEnd w:id="3"/>
    </w:p>
    <w:p w:rsidR="00405F55" w:rsidRDefault="00000000">
      <w:pPr>
        <w:pStyle w:val="12"/>
        <w:spacing w:after="5340" w:line="282" w:lineRule="exact"/>
        <w:ind w:left="2240" w:hanging="960"/>
        <w:rPr>
          <w:b/>
          <w:bCs/>
          <w:color w:val="231F20"/>
          <w:sz w:val="24"/>
          <w:szCs w:val="24"/>
          <w:lang w:val="en-US"/>
        </w:rPr>
      </w:pPr>
      <w:r>
        <w:rPr>
          <w:b/>
          <w:bCs/>
          <w:color w:val="231F20"/>
          <w:sz w:val="24"/>
          <w:szCs w:val="24"/>
        </w:rPr>
        <w:t>执笔人：</w:t>
      </w:r>
      <w:r>
        <w:rPr>
          <w:rFonts w:hint="eastAsia"/>
          <w:b/>
          <w:bCs/>
          <w:color w:val="231F20"/>
          <w:sz w:val="24"/>
          <w:szCs w:val="24"/>
          <w:lang w:val="en-US"/>
        </w:rPr>
        <w:t xml:space="preserve">  </w:t>
      </w:r>
      <w:r>
        <w:rPr>
          <w:rFonts w:hint="eastAsia"/>
          <w:b/>
          <w:bCs/>
          <w:color w:val="231F20"/>
          <w:sz w:val="24"/>
          <w:szCs w:val="24"/>
        </w:rPr>
        <w:t>卢昌艾</w:t>
      </w:r>
      <w:r>
        <w:rPr>
          <w:rFonts w:hint="eastAsia"/>
          <w:b/>
          <w:bCs/>
          <w:color w:val="231F20"/>
          <w:sz w:val="24"/>
          <w:szCs w:val="24"/>
          <w:lang w:val="en-US"/>
        </w:rPr>
        <w:t xml:space="preserve">    </w:t>
      </w:r>
      <w:r>
        <w:rPr>
          <w:rFonts w:hint="eastAsia"/>
          <w:b/>
          <w:bCs/>
          <w:color w:val="231F20"/>
          <w:sz w:val="24"/>
          <w:szCs w:val="24"/>
        </w:rPr>
        <w:t>陈章全</w:t>
      </w:r>
      <w:r>
        <w:rPr>
          <w:rFonts w:hint="eastAsia"/>
          <w:b/>
          <w:bCs/>
          <w:color w:val="231F20"/>
          <w:sz w:val="24"/>
          <w:szCs w:val="24"/>
          <w:lang w:val="en-US"/>
        </w:rPr>
        <w:t xml:space="preserve">   吴文斌   </w:t>
      </w:r>
      <w:proofErr w:type="gramStart"/>
      <w:r>
        <w:rPr>
          <w:rFonts w:hint="eastAsia"/>
          <w:b/>
          <w:bCs/>
          <w:color w:val="231F20"/>
          <w:sz w:val="24"/>
          <w:szCs w:val="24"/>
          <w:lang w:val="en-US"/>
        </w:rPr>
        <w:t>马常宝</w:t>
      </w:r>
      <w:proofErr w:type="gramEnd"/>
      <w:r>
        <w:rPr>
          <w:rFonts w:hint="eastAsia"/>
          <w:b/>
          <w:bCs/>
          <w:color w:val="231F20"/>
          <w:sz w:val="24"/>
          <w:szCs w:val="24"/>
          <w:lang w:val="en-US"/>
        </w:rPr>
        <w:t xml:space="preserve">    赵玉国</w:t>
      </w:r>
      <w:r>
        <w:rPr>
          <w:b/>
          <w:bCs/>
          <w:color w:val="231F20"/>
          <w:sz w:val="24"/>
          <w:szCs w:val="24"/>
        </w:rPr>
        <w:br/>
      </w:r>
      <w:r>
        <w:rPr>
          <w:rFonts w:hint="eastAsia"/>
          <w:b/>
          <w:bCs/>
          <w:color w:val="231F20"/>
          <w:sz w:val="24"/>
          <w:szCs w:val="24"/>
          <w:lang w:val="en-US"/>
        </w:rPr>
        <w:t xml:space="preserve">  </w:t>
      </w:r>
      <w:r>
        <w:rPr>
          <w:rFonts w:hint="eastAsia"/>
          <w:b/>
          <w:bCs/>
          <w:color w:val="231F20"/>
          <w:sz w:val="24"/>
          <w:szCs w:val="24"/>
        </w:rPr>
        <w:t>徐爱国</w:t>
      </w:r>
      <w:r>
        <w:rPr>
          <w:rFonts w:hint="eastAsia"/>
          <w:b/>
          <w:bCs/>
          <w:color w:val="231F20"/>
          <w:sz w:val="24"/>
          <w:szCs w:val="24"/>
          <w:lang w:val="en-US"/>
        </w:rPr>
        <w:t xml:space="preserve">    </w:t>
      </w:r>
      <w:r>
        <w:rPr>
          <w:rFonts w:hint="eastAsia"/>
          <w:b/>
          <w:bCs/>
          <w:color w:val="231F20"/>
          <w:sz w:val="24"/>
          <w:szCs w:val="24"/>
        </w:rPr>
        <w:t>龙怀玉</w:t>
      </w:r>
      <w:r>
        <w:rPr>
          <w:rFonts w:hint="eastAsia"/>
          <w:b/>
          <w:bCs/>
          <w:color w:val="231F20"/>
          <w:sz w:val="24"/>
          <w:szCs w:val="24"/>
          <w:lang w:val="en-US"/>
        </w:rPr>
        <w:t xml:space="preserve">   余强毅   王  </w:t>
      </w:r>
      <w:proofErr w:type="gramStart"/>
      <w:r>
        <w:rPr>
          <w:rFonts w:hint="eastAsia"/>
          <w:b/>
          <w:bCs/>
          <w:color w:val="231F20"/>
          <w:sz w:val="24"/>
          <w:szCs w:val="24"/>
          <w:lang w:val="en-US"/>
        </w:rPr>
        <w:t>迪</w:t>
      </w:r>
      <w:proofErr w:type="gramEnd"/>
      <w:r>
        <w:rPr>
          <w:rFonts w:hint="eastAsia"/>
          <w:b/>
          <w:bCs/>
          <w:color w:val="231F20"/>
          <w:sz w:val="24"/>
          <w:szCs w:val="24"/>
          <w:lang w:val="en-US"/>
        </w:rPr>
        <w:t xml:space="preserve">    钱建平</w:t>
      </w:r>
      <w:r>
        <w:rPr>
          <w:rFonts w:hint="eastAsia"/>
          <w:b/>
          <w:bCs/>
          <w:color w:val="231F20"/>
          <w:sz w:val="24"/>
          <w:szCs w:val="24"/>
        </w:rPr>
        <w:br/>
      </w:r>
      <w:r>
        <w:rPr>
          <w:rFonts w:hint="eastAsia"/>
          <w:b/>
          <w:bCs/>
          <w:color w:val="231F20"/>
          <w:sz w:val="24"/>
          <w:szCs w:val="24"/>
          <w:lang w:val="en-US"/>
        </w:rPr>
        <w:t xml:space="preserve">  </w:t>
      </w:r>
      <w:r>
        <w:rPr>
          <w:rFonts w:hint="eastAsia"/>
          <w:b/>
          <w:bCs/>
          <w:color w:val="231F20"/>
          <w:sz w:val="24"/>
          <w:szCs w:val="24"/>
        </w:rPr>
        <w:t>汪</w:t>
      </w:r>
      <w:r>
        <w:rPr>
          <w:rFonts w:hint="eastAsia"/>
          <w:b/>
          <w:bCs/>
          <w:color w:val="231F20"/>
          <w:sz w:val="24"/>
          <w:szCs w:val="24"/>
          <w:lang w:val="en-US"/>
        </w:rPr>
        <w:t xml:space="preserve">  </w:t>
      </w:r>
      <w:r>
        <w:rPr>
          <w:rFonts w:hint="eastAsia"/>
          <w:b/>
          <w:bCs/>
          <w:color w:val="231F20"/>
          <w:sz w:val="24"/>
          <w:szCs w:val="24"/>
        </w:rPr>
        <w:t>洪</w:t>
      </w:r>
      <w:r>
        <w:rPr>
          <w:rFonts w:hint="eastAsia"/>
          <w:b/>
          <w:bCs/>
          <w:color w:val="231F20"/>
          <w:sz w:val="24"/>
          <w:szCs w:val="24"/>
          <w:lang w:val="en-US"/>
        </w:rPr>
        <w:t xml:space="preserve">    </w:t>
      </w:r>
      <w:r>
        <w:rPr>
          <w:rFonts w:hint="eastAsia"/>
          <w:b/>
          <w:bCs/>
          <w:color w:val="231F20"/>
          <w:sz w:val="24"/>
          <w:szCs w:val="24"/>
        </w:rPr>
        <w:t>郑</w:t>
      </w:r>
      <w:r>
        <w:rPr>
          <w:rFonts w:hint="eastAsia"/>
          <w:b/>
          <w:bCs/>
          <w:color w:val="231F20"/>
          <w:sz w:val="24"/>
          <w:szCs w:val="24"/>
          <w:lang w:val="en-US"/>
        </w:rPr>
        <w:t xml:space="preserve">  </w:t>
      </w:r>
      <w:proofErr w:type="gramStart"/>
      <w:r>
        <w:rPr>
          <w:rFonts w:hint="eastAsia"/>
          <w:b/>
          <w:bCs/>
          <w:color w:val="231F20"/>
          <w:sz w:val="24"/>
          <w:szCs w:val="24"/>
        </w:rPr>
        <w:t>磊</w:t>
      </w:r>
      <w:proofErr w:type="gramEnd"/>
      <w:r>
        <w:rPr>
          <w:rFonts w:hint="eastAsia"/>
          <w:b/>
          <w:bCs/>
          <w:color w:val="231F20"/>
          <w:sz w:val="24"/>
          <w:szCs w:val="24"/>
          <w:lang w:val="en-US"/>
        </w:rPr>
        <w:t xml:space="preserve">   曲潇琳   孙  波    刘  峰</w:t>
      </w:r>
      <w:r>
        <w:rPr>
          <w:rFonts w:hint="eastAsia"/>
          <w:b/>
          <w:bCs/>
          <w:color w:val="231F20"/>
          <w:sz w:val="24"/>
          <w:szCs w:val="24"/>
        </w:rPr>
        <w:br/>
      </w:r>
      <w:r>
        <w:rPr>
          <w:rFonts w:hint="eastAsia"/>
          <w:b/>
          <w:bCs/>
          <w:color w:val="231F20"/>
          <w:sz w:val="24"/>
          <w:szCs w:val="24"/>
          <w:lang w:val="en-US"/>
        </w:rPr>
        <w:t xml:space="preserve">  </w:t>
      </w:r>
      <w:proofErr w:type="gramStart"/>
      <w:r>
        <w:rPr>
          <w:rFonts w:hint="eastAsia"/>
          <w:b/>
          <w:bCs/>
          <w:color w:val="231F20"/>
          <w:sz w:val="24"/>
          <w:szCs w:val="24"/>
        </w:rPr>
        <w:t>吴华勇</w:t>
      </w:r>
      <w:proofErr w:type="gramEnd"/>
      <w:r>
        <w:rPr>
          <w:rFonts w:hint="eastAsia"/>
          <w:b/>
          <w:bCs/>
          <w:color w:val="231F20"/>
          <w:sz w:val="24"/>
          <w:szCs w:val="24"/>
          <w:lang w:val="en-US"/>
        </w:rPr>
        <w:t xml:space="preserve">    </w:t>
      </w:r>
      <w:r>
        <w:rPr>
          <w:rFonts w:hint="eastAsia"/>
          <w:b/>
          <w:bCs/>
          <w:color w:val="231F20"/>
          <w:sz w:val="24"/>
          <w:szCs w:val="24"/>
        </w:rPr>
        <w:t>潘剑君</w:t>
      </w:r>
      <w:r>
        <w:rPr>
          <w:rFonts w:hint="eastAsia"/>
          <w:b/>
          <w:bCs/>
          <w:color w:val="231F20"/>
          <w:sz w:val="24"/>
          <w:szCs w:val="24"/>
          <w:lang w:val="en-US"/>
        </w:rPr>
        <w:t xml:space="preserve">   蔡崇法   林英华    梁文举</w:t>
      </w:r>
      <w:r>
        <w:rPr>
          <w:rFonts w:hint="eastAsia"/>
          <w:b/>
          <w:bCs/>
          <w:color w:val="231F20"/>
          <w:sz w:val="24"/>
          <w:szCs w:val="24"/>
        </w:rPr>
        <w:br/>
      </w:r>
      <w:r>
        <w:rPr>
          <w:rFonts w:hint="eastAsia"/>
          <w:b/>
          <w:bCs/>
          <w:color w:val="231F20"/>
          <w:sz w:val="24"/>
          <w:szCs w:val="24"/>
          <w:lang w:val="en-US"/>
        </w:rPr>
        <w:t xml:space="preserve">  </w:t>
      </w:r>
      <w:r>
        <w:rPr>
          <w:rFonts w:hint="eastAsia"/>
          <w:b/>
          <w:bCs/>
          <w:color w:val="231F20"/>
          <w:sz w:val="24"/>
          <w:szCs w:val="24"/>
        </w:rPr>
        <w:t>任图生</w:t>
      </w:r>
      <w:r>
        <w:rPr>
          <w:rFonts w:hint="eastAsia"/>
          <w:b/>
          <w:bCs/>
          <w:color w:val="231F20"/>
          <w:sz w:val="24"/>
          <w:szCs w:val="24"/>
          <w:lang w:val="en-US"/>
        </w:rPr>
        <w:t xml:space="preserve">    </w:t>
      </w:r>
      <w:r>
        <w:rPr>
          <w:rFonts w:hint="eastAsia"/>
          <w:b/>
          <w:bCs/>
          <w:color w:val="231F20"/>
          <w:sz w:val="24"/>
          <w:szCs w:val="24"/>
        </w:rPr>
        <w:t>吴会军</w:t>
      </w:r>
      <w:r>
        <w:rPr>
          <w:rFonts w:hint="eastAsia"/>
          <w:b/>
          <w:bCs/>
          <w:color w:val="231F20"/>
          <w:sz w:val="24"/>
          <w:szCs w:val="24"/>
          <w:lang w:val="en-US"/>
        </w:rPr>
        <w:t xml:space="preserve">   吴克宁   张建峰    董  燕</w:t>
      </w:r>
      <w:r>
        <w:rPr>
          <w:rFonts w:hint="eastAsia"/>
          <w:b/>
          <w:bCs/>
          <w:color w:val="231F20"/>
          <w:sz w:val="24"/>
          <w:szCs w:val="24"/>
        </w:rPr>
        <w:br/>
      </w:r>
      <w:r>
        <w:rPr>
          <w:rFonts w:hint="eastAsia"/>
          <w:b/>
          <w:bCs/>
          <w:color w:val="231F20"/>
          <w:sz w:val="24"/>
          <w:szCs w:val="24"/>
          <w:lang w:val="en-US"/>
        </w:rPr>
        <w:t xml:space="preserve">  </w:t>
      </w:r>
      <w:r>
        <w:rPr>
          <w:rFonts w:hint="eastAsia"/>
          <w:b/>
          <w:bCs/>
          <w:color w:val="231F20"/>
          <w:sz w:val="24"/>
          <w:szCs w:val="24"/>
        </w:rPr>
        <w:t>裴久渤</w:t>
      </w:r>
      <w:r>
        <w:rPr>
          <w:rFonts w:hint="eastAsia"/>
          <w:b/>
          <w:bCs/>
          <w:color w:val="231F20"/>
          <w:sz w:val="24"/>
          <w:szCs w:val="24"/>
          <w:lang w:val="en-US"/>
        </w:rPr>
        <w:t xml:space="preserve">    </w:t>
      </w:r>
      <w:proofErr w:type="gramStart"/>
      <w:r>
        <w:rPr>
          <w:rFonts w:hint="eastAsia"/>
          <w:b/>
          <w:bCs/>
          <w:color w:val="231F20"/>
          <w:sz w:val="24"/>
          <w:szCs w:val="24"/>
        </w:rPr>
        <w:t>张青璞</w:t>
      </w:r>
      <w:proofErr w:type="gramEnd"/>
      <w:r>
        <w:rPr>
          <w:rFonts w:hint="eastAsia"/>
          <w:b/>
          <w:bCs/>
          <w:color w:val="231F20"/>
          <w:sz w:val="24"/>
          <w:szCs w:val="24"/>
          <w:lang w:val="en-US"/>
        </w:rPr>
        <w:t xml:space="preserve">   阮志勇   胡  炎    袁承程</w:t>
      </w:r>
      <w:r>
        <w:rPr>
          <w:rFonts w:hint="eastAsia"/>
          <w:b/>
          <w:bCs/>
          <w:color w:val="231F20"/>
          <w:sz w:val="24"/>
          <w:szCs w:val="24"/>
        </w:rPr>
        <w:br/>
      </w:r>
      <w:r>
        <w:rPr>
          <w:rFonts w:hint="eastAsia"/>
          <w:b/>
          <w:bCs/>
          <w:color w:val="231F20"/>
          <w:sz w:val="24"/>
          <w:szCs w:val="24"/>
          <w:lang w:val="en-US"/>
        </w:rPr>
        <w:t xml:space="preserve">  </w:t>
      </w:r>
      <w:r>
        <w:rPr>
          <w:rFonts w:hint="eastAsia"/>
          <w:b/>
          <w:bCs/>
          <w:color w:val="231F20"/>
          <w:sz w:val="24"/>
          <w:szCs w:val="24"/>
        </w:rPr>
        <w:t>徐祥玉</w:t>
      </w:r>
      <w:r>
        <w:rPr>
          <w:rFonts w:hint="eastAsia"/>
          <w:b/>
          <w:bCs/>
          <w:color w:val="231F20"/>
          <w:sz w:val="24"/>
          <w:szCs w:val="24"/>
          <w:lang w:val="en-US"/>
        </w:rPr>
        <w:t xml:space="preserve">    </w:t>
      </w:r>
      <w:r>
        <w:rPr>
          <w:rFonts w:hint="eastAsia"/>
          <w:b/>
          <w:bCs/>
          <w:color w:val="231F20"/>
          <w:sz w:val="24"/>
          <w:szCs w:val="24"/>
        </w:rPr>
        <w:t>高明杰</w:t>
      </w:r>
      <w:r>
        <w:rPr>
          <w:rFonts w:hint="eastAsia"/>
          <w:b/>
          <w:bCs/>
          <w:color w:val="231F20"/>
          <w:sz w:val="24"/>
          <w:szCs w:val="24"/>
          <w:lang w:val="en-US"/>
        </w:rPr>
        <w:t xml:space="preserve">   袁晓奇   </w:t>
      </w:r>
      <w:proofErr w:type="gramStart"/>
      <w:r>
        <w:rPr>
          <w:rFonts w:hint="eastAsia"/>
          <w:b/>
          <w:bCs/>
          <w:color w:val="231F20"/>
          <w:sz w:val="24"/>
          <w:szCs w:val="24"/>
          <w:lang w:val="en-US"/>
        </w:rPr>
        <w:t>矫</w:t>
      </w:r>
      <w:proofErr w:type="gramEnd"/>
      <w:r>
        <w:rPr>
          <w:rFonts w:hint="eastAsia"/>
          <w:b/>
          <w:bCs/>
          <w:color w:val="231F20"/>
          <w:sz w:val="24"/>
          <w:szCs w:val="24"/>
          <w:lang w:val="en-US"/>
        </w:rPr>
        <w:t xml:space="preserve">  健</w:t>
      </w:r>
    </w:p>
    <w:p w:rsidR="00405F55" w:rsidRDefault="00405F55">
      <w:pPr>
        <w:pStyle w:val="12"/>
        <w:spacing w:line="240" w:lineRule="auto"/>
        <w:ind w:firstLineChars="565" w:firstLine="1695"/>
        <w:jc w:val="both"/>
        <w:rPr>
          <w:rFonts w:ascii="微软雅黑" w:eastAsia="微软雅黑" w:hAnsi="微软雅黑" w:cs="微软雅黑"/>
          <w:color w:val="231F20"/>
          <w:sz w:val="30"/>
          <w:szCs w:val="30"/>
        </w:rPr>
      </w:pPr>
    </w:p>
    <w:p w:rsidR="00405F55" w:rsidRDefault="00405F55">
      <w:pPr>
        <w:pStyle w:val="12"/>
        <w:spacing w:line="240" w:lineRule="auto"/>
        <w:ind w:firstLineChars="565" w:firstLine="1695"/>
        <w:jc w:val="both"/>
        <w:rPr>
          <w:rFonts w:ascii="微软雅黑" w:eastAsia="微软雅黑" w:hAnsi="微软雅黑" w:cs="微软雅黑"/>
          <w:color w:val="231F20"/>
          <w:sz w:val="30"/>
          <w:szCs w:val="30"/>
        </w:rPr>
      </w:pPr>
    </w:p>
    <w:p w:rsidR="00405F55" w:rsidRDefault="00405F55">
      <w:pPr>
        <w:pStyle w:val="12"/>
        <w:spacing w:line="240" w:lineRule="auto"/>
        <w:ind w:firstLineChars="565" w:firstLine="1695"/>
        <w:jc w:val="both"/>
        <w:rPr>
          <w:rFonts w:ascii="微软雅黑" w:eastAsia="微软雅黑" w:hAnsi="微软雅黑" w:cs="微软雅黑"/>
          <w:color w:val="231F20"/>
          <w:sz w:val="30"/>
          <w:szCs w:val="30"/>
        </w:rPr>
      </w:pPr>
    </w:p>
    <w:p w:rsidR="00405F55" w:rsidRDefault="00405F55">
      <w:pPr>
        <w:pStyle w:val="12"/>
        <w:spacing w:line="240" w:lineRule="auto"/>
        <w:ind w:firstLineChars="565" w:firstLine="1695"/>
        <w:jc w:val="both"/>
        <w:rPr>
          <w:rFonts w:ascii="微软雅黑" w:eastAsia="微软雅黑" w:hAnsi="微软雅黑" w:cs="微软雅黑"/>
          <w:color w:val="231F20"/>
          <w:sz w:val="30"/>
          <w:szCs w:val="30"/>
        </w:rPr>
      </w:pPr>
    </w:p>
    <w:p w:rsidR="00405F55" w:rsidRDefault="00405F55">
      <w:pPr>
        <w:pStyle w:val="12"/>
        <w:spacing w:line="240" w:lineRule="auto"/>
        <w:ind w:firstLineChars="565" w:firstLine="1695"/>
        <w:jc w:val="both"/>
        <w:rPr>
          <w:rFonts w:ascii="微软雅黑" w:eastAsia="微软雅黑" w:hAnsi="微软雅黑" w:cs="微软雅黑"/>
          <w:color w:val="231F20"/>
          <w:sz w:val="30"/>
          <w:szCs w:val="30"/>
        </w:rPr>
      </w:pPr>
    </w:p>
    <w:p w:rsidR="00405F55" w:rsidRDefault="00000000">
      <w:pPr>
        <w:pStyle w:val="12"/>
        <w:spacing w:line="240" w:lineRule="auto"/>
        <w:ind w:firstLineChars="565" w:firstLine="1695"/>
        <w:jc w:val="both"/>
        <w:rPr>
          <w:rFonts w:ascii="微软雅黑" w:eastAsia="微软雅黑" w:hAnsi="微软雅黑" w:cs="微软雅黑"/>
          <w:sz w:val="30"/>
          <w:szCs w:val="30"/>
        </w:rPr>
      </w:pPr>
      <w:r>
        <w:rPr>
          <w:rFonts w:ascii="微软雅黑" w:eastAsia="微软雅黑" w:hAnsi="微软雅黑" w:cs="微软雅黑" w:hint="eastAsia"/>
          <w:color w:val="231F20"/>
          <w:sz w:val="30"/>
          <w:szCs w:val="30"/>
        </w:rPr>
        <w:t>国务院第三次全国土壤普查领导小组办公室</w:t>
      </w:r>
    </w:p>
    <w:p w:rsidR="00405F55" w:rsidRDefault="00000000">
      <w:pPr>
        <w:pStyle w:val="a6"/>
        <w:tabs>
          <w:tab w:val="left" w:pos="834"/>
          <w:tab w:val="right" w:leader="dot" w:pos="9179"/>
        </w:tabs>
        <w:ind w:firstLine="200"/>
        <w:jc w:val="center"/>
        <w:rPr>
          <w:rFonts w:ascii="微软雅黑" w:eastAsia="微软雅黑" w:hAnsi="微软雅黑" w:cs="微软雅黑"/>
          <w:sz w:val="30"/>
          <w:szCs w:val="30"/>
        </w:rPr>
        <w:sectPr w:rsidR="00405F55">
          <w:type w:val="continuous"/>
          <w:pgSz w:w="11900" w:h="16840"/>
          <w:pgMar w:top="1457" w:right="1314" w:bottom="1347" w:left="1316" w:header="0" w:footer="3" w:gutter="0"/>
          <w:cols w:space="720"/>
          <w:docGrid w:linePitch="360"/>
        </w:sectPr>
      </w:pPr>
      <w:r>
        <w:rPr>
          <w:rFonts w:ascii="微软雅黑" w:eastAsia="微软雅黑" w:hAnsi="微软雅黑" w:cs="微软雅黑" w:hint="eastAsia"/>
          <w:sz w:val="30"/>
          <w:szCs w:val="30"/>
        </w:rPr>
        <w:t>2023年2月</w:t>
      </w:r>
      <w:bookmarkStart w:id="4" w:name="bookmark2"/>
      <w:bookmarkStart w:id="5" w:name="_Toc19061"/>
    </w:p>
    <w:p w:rsidR="00405F55" w:rsidRDefault="00000000">
      <w:pPr>
        <w:pStyle w:val="21"/>
        <w:keepNext/>
        <w:keepLines/>
        <w:tabs>
          <w:tab w:val="left" w:pos="834"/>
          <w:tab w:val="right" w:leader="dot" w:pos="9179"/>
        </w:tabs>
        <w:spacing w:after="240"/>
        <w:jc w:val="center"/>
        <w:rPr>
          <w:rFonts w:ascii="宋体" w:eastAsia="宋体" w:hAnsi="宋体" w:cs="宋体"/>
          <w:sz w:val="24"/>
          <w:szCs w:val="24"/>
        </w:rPr>
      </w:pPr>
      <w:bookmarkStart w:id="6" w:name="_Toc12793"/>
      <w:r>
        <w:rPr>
          <w:b/>
          <w:bCs/>
          <w:sz w:val="32"/>
          <w:szCs w:val="32"/>
        </w:rPr>
        <w:lastRenderedPageBreak/>
        <w:t>目次</w:t>
      </w:r>
      <w:bookmarkEnd w:id="4"/>
      <w:bookmarkEnd w:id="5"/>
      <w:bookmarkEnd w:id="6"/>
      <w:r>
        <w:rPr>
          <w:rFonts w:ascii="宋体" w:eastAsia="宋体" w:hAnsi="宋体" w:cs="宋体" w:hint="eastAsia"/>
          <w:sz w:val="24"/>
          <w:szCs w:val="24"/>
        </w:rPr>
        <w:fldChar w:fldCharType="begin"/>
      </w:r>
      <w:r>
        <w:rPr>
          <w:rFonts w:ascii="宋体" w:eastAsia="宋体" w:hAnsi="宋体" w:cs="宋体" w:hint="eastAsia"/>
          <w:sz w:val="24"/>
          <w:szCs w:val="24"/>
        </w:rPr>
        <w:instrText xml:space="preserve"> TOC \o "1-5" \h \z </w:instrText>
      </w:r>
      <w:r>
        <w:rPr>
          <w:rFonts w:ascii="宋体" w:eastAsia="宋体" w:hAnsi="宋体" w:cs="宋体" w:hint="eastAsia"/>
          <w:sz w:val="24"/>
          <w:szCs w:val="24"/>
        </w:rPr>
        <w:fldChar w:fldCharType="separate"/>
      </w:r>
    </w:p>
    <w:p w:rsidR="00405F55" w:rsidRDefault="00000000">
      <w:pPr>
        <w:pStyle w:val="TOC1"/>
        <w:tabs>
          <w:tab w:val="right" w:leader="dot" w:pos="9270"/>
        </w:tabs>
      </w:pPr>
      <w:hyperlink w:anchor="_Toc29967" w:history="1">
        <w:r>
          <w:rPr>
            <w:rFonts w:ascii="微软雅黑" w:eastAsia="微软雅黑" w:hAnsi="微软雅黑" w:cs="微软雅黑" w:hint="eastAsia"/>
            <w:szCs w:val="32"/>
          </w:rPr>
          <w:t>1适用范围</w:t>
        </w:r>
        <w:r>
          <w:tab/>
        </w:r>
        <w:r>
          <w:fldChar w:fldCharType="begin"/>
        </w:r>
        <w:r>
          <w:instrText xml:space="preserve"> PAGEREF _Toc29967 \h </w:instrText>
        </w:r>
        <w:r>
          <w:fldChar w:fldCharType="separate"/>
        </w:r>
        <w:r>
          <w:t>5</w:t>
        </w:r>
        <w:r>
          <w:fldChar w:fldCharType="end"/>
        </w:r>
      </w:hyperlink>
    </w:p>
    <w:p w:rsidR="00405F55" w:rsidRDefault="00000000">
      <w:pPr>
        <w:pStyle w:val="TOC1"/>
        <w:tabs>
          <w:tab w:val="right" w:leader="dot" w:pos="9270"/>
        </w:tabs>
      </w:pPr>
      <w:hyperlink w:anchor="_Toc14381" w:history="1">
        <w:r>
          <w:rPr>
            <w:rFonts w:ascii="微软雅黑" w:eastAsia="微软雅黑" w:hAnsi="微软雅黑" w:cs="微软雅黑" w:hint="eastAsia"/>
            <w:szCs w:val="32"/>
          </w:rPr>
          <w:t>2规范性引用文件</w:t>
        </w:r>
        <w:r>
          <w:tab/>
        </w:r>
        <w:r>
          <w:fldChar w:fldCharType="begin"/>
        </w:r>
        <w:r>
          <w:instrText xml:space="preserve"> PAGEREF _Toc14381 \h </w:instrText>
        </w:r>
        <w:r>
          <w:fldChar w:fldCharType="separate"/>
        </w:r>
        <w:r>
          <w:t>5</w:t>
        </w:r>
        <w:r>
          <w:fldChar w:fldCharType="end"/>
        </w:r>
      </w:hyperlink>
    </w:p>
    <w:p w:rsidR="00405F55" w:rsidRDefault="00000000">
      <w:pPr>
        <w:pStyle w:val="TOC1"/>
        <w:tabs>
          <w:tab w:val="right" w:leader="dot" w:pos="9270"/>
        </w:tabs>
      </w:pPr>
      <w:hyperlink w:anchor="_Toc20195" w:history="1">
        <w:r>
          <w:rPr>
            <w:rFonts w:ascii="微软雅黑" w:eastAsia="微软雅黑" w:hAnsi="微软雅黑" w:cs="微软雅黑" w:hint="eastAsia"/>
            <w:szCs w:val="32"/>
          </w:rPr>
          <w:t>3 土壤三普的目标</w:t>
        </w:r>
        <w:r>
          <w:tab/>
        </w:r>
        <w:r>
          <w:fldChar w:fldCharType="begin"/>
        </w:r>
        <w:r>
          <w:instrText xml:space="preserve"> PAGEREF _Toc20195 \h </w:instrText>
        </w:r>
        <w:r>
          <w:fldChar w:fldCharType="separate"/>
        </w:r>
        <w:r>
          <w:t>5</w:t>
        </w:r>
        <w:r>
          <w:fldChar w:fldCharType="end"/>
        </w:r>
      </w:hyperlink>
    </w:p>
    <w:p w:rsidR="00405F55" w:rsidRDefault="00000000">
      <w:pPr>
        <w:pStyle w:val="TOC2"/>
        <w:tabs>
          <w:tab w:val="right" w:leader="dot" w:pos="9270"/>
        </w:tabs>
        <w:ind w:left="480"/>
      </w:pPr>
      <w:hyperlink w:anchor="_Toc6911" w:history="1">
        <w:r>
          <w:rPr>
            <w:rFonts w:ascii="宋体" w:eastAsia="宋体" w:hAnsi="宋体" w:cs="宋体" w:hint="eastAsia"/>
            <w:szCs w:val="30"/>
          </w:rPr>
          <w:t>3.1普查目的与意义</w:t>
        </w:r>
        <w:r>
          <w:tab/>
        </w:r>
        <w:r>
          <w:fldChar w:fldCharType="begin"/>
        </w:r>
        <w:r>
          <w:instrText xml:space="preserve"> PAGEREF _Toc6911 \h </w:instrText>
        </w:r>
        <w:r>
          <w:fldChar w:fldCharType="separate"/>
        </w:r>
        <w:r>
          <w:t>5</w:t>
        </w:r>
        <w:r>
          <w:fldChar w:fldCharType="end"/>
        </w:r>
      </w:hyperlink>
    </w:p>
    <w:p w:rsidR="00405F55" w:rsidRDefault="00000000">
      <w:pPr>
        <w:pStyle w:val="TOC2"/>
        <w:tabs>
          <w:tab w:val="right" w:leader="dot" w:pos="9270"/>
        </w:tabs>
        <w:ind w:left="480"/>
      </w:pPr>
      <w:hyperlink w:anchor="_Toc32243" w:history="1">
        <w:r>
          <w:rPr>
            <w:rFonts w:ascii="宋体" w:eastAsia="宋体" w:hAnsi="宋体" w:cs="宋体" w:hint="eastAsia"/>
            <w:szCs w:val="30"/>
            <w:lang w:eastAsia="zh-CN"/>
          </w:rPr>
          <w:t>3.</w:t>
        </w:r>
        <w:r>
          <w:rPr>
            <w:rFonts w:ascii="宋体" w:eastAsia="宋体" w:hAnsi="宋体" w:cs="宋体" w:hint="eastAsia"/>
            <w:szCs w:val="30"/>
          </w:rPr>
          <w:t>2普查思路与目标</w:t>
        </w:r>
        <w:r>
          <w:tab/>
        </w:r>
        <w:r>
          <w:fldChar w:fldCharType="begin"/>
        </w:r>
        <w:r>
          <w:instrText xml:space="preserve"> PAGEREF _Toc32243 \h </w:instrText>
        </w:r>
        <w:r>
          <w:fldChar w:fldCharType="separate"/>
        </w:r>
        <w:r>
          <w:t>6</w:t>
        </w:r>
        <w:r>
          <w:fldChar w:fldCharType="end"/>
        </w:r>
      </w:hyperlink>
    </w:p>
    <w:p w:rsidR="00405F55" w:rsidRDefault="00000000">
      <w:pPr>
        <w:pStyle w:val="TOC1"/>
        <w:tabs>
          <w:tab w:val="right" w:leader="dot" w:pos="9270"/>
        </w:tabs>
      </w:pPr>
      <w:hyperlink w:anchor="_Toc13452" w:history="1">
        <w:r>
          <w:rPr>
            <w:rFonts w:ascii="微软雅黑" w:eastAsia="微软雅黑" w:hAnsi="微软雅黑" w:cs="微软雅黑" w:hint="eastAsia"/>
            <w:szCs w:val="32"/>
          </w:rPr>
          <w:t>4 土壤三普的范围与任务</w:t>
        </w:r>
        <w:r>
          <w:tab/>
        </w:r>
        <w:r>
          <w:fldChar w:fldCharType="begin"/>
        </w:r>
        <w:r>
          <w:instrText xml:space="preserve"> PAGEREF _Toc13452 \h </w:instrText>
        </w:r>
        <w:r>
          <w:fldChar w:fldCharType="separate"/>
        </w:r>
        <w:r>
          <w:t>6</w:t>
        </w:r>
        <w:r>
          <w:fldChar w:fldCharType="end"/>
        </w:r>
      </w:hyperlink>
    </w:p>
    <w:p w:rsidR="00405F55" w:rsidRDefault="00000000">
      <w:pPr>
        <w:pStyle w:val="TOC2"/>
        <w:tabs>
          <w:tab w:val="right" w:leader="dot" w:pos="9270"/>
        </w:tabs>
        <w:ind w:left="480"/>
      </w:pPr>
      <w:hyperlink w:anchor="_Toc18215" w:history="1">
        <w:r>
          <w:rPr>
            <w:rFonts w:ascii="宋体" w:eastAsia="宋体" w:hAnsi="宋体" w:cs="宋体" w:hint="eastAsia"/>
            <w:szCs w:val="30"/>
            <w:lang w:eastAsia="zh-CN"/>
          </w:rPr>
          <w:t>4.1 普查范围</w:t>
        </w:r>
        <w:r>
          <w:tab/>
        </w:r>
        <w:r>
          <w:fldChar w:fldCharType="begin"/>
        </w:r>
        <w:r>
          <w:instrText xml:space="preserve"> PAGEREF _Toc18215 \h </w:instrText>
        </w:r>
        <w:r>
          <w:fldChar w:fldCharType="separate"/>
        </w:r>
        <w:r>
          <w:t>6</w:t>
        </w:r>
        <w:r>
          <w:fldChar w:fldCharType="end"/>
        </w:r>
      </w:hyperlink>
    </w:p>
    <w:p w:rsidR="00405F55" w:rsidRDefault="00000000">
      <w:pPr>
        <w:pStyle w:val="TOC2"/>
        <w:tabs>
          <w:tab w:val="right" w:leader="dot" w:pos="9270"/>
        </w:tabs>
        <w:ind w:left="480"/>
      </w:pPr>
      <w:hyperlink w:anchor="_Toc21138" w:history="1">
        <w:r>
          <w:rPr>
            <w:rFonts w:ascii="宋体" w:eastAsia="宋体" w:hAnsi="宋体" w:cs="宋体" w:hint="eastAsia"/>
            <w:szCs w:val="30"/>
            <w:lang w:eastAsia="zh-CN"/>
          </w:rPr>
          <w:t>4.2普查内容</w:t>
        </w:r>
        <w:r>
          <w:tab/>
        </w:r>
        <w:r>
          <w:fldChar w:fldCharType="begin"/>
        </w:r>
        <w:r>
          <w:instrText xml:space="preserve"> PAGEREF _Toc21138 \h </w:instrText>
        </w:r>
        <w:r>
          <w:fldChar w:fldCharType="separate"/>
        </w:r>
        <w:r>
          <w:t>6</w:t>
        </w:r>
        <w:r>
          <w:fldChar w:fldCharType="end"/>
        </w:r>
      </w:hyperlink>
    </w:p>
    <w:p w:rsidR="00405F55" w:rsidRDefault="00000000">
      <w:pPr>
        <w:pStyle w:val="TOC2"/>
        <w:tabs>
          <w:tab w:val="right" w:leader="dot" w:pos="9270"/>
        </w:tabs>
        <w:ind w:left="480"/>
      </w:pPr>
      <w:hyperlink w:anchor="_Toc8217" w:history="1">
        <w:r>
          <w:rPr>
            <w:rFonts w:ascii="宋体" w:eastAsia="宋体" w:hAnsi="宋体" w:cs="宋体" w:hint="eastAsia"/>
            <w:szCs w:val="30"/>
            <w:lang w:eastAsia="zh-CN"/>
          </w:rPr>
          <w:t>4.3技术路线与方法</w:t>
        </w:r>
        <w:r>
          <w:tab/>
        </w:r>
        <w:r>
          <w:fldChar w:fldCharType="begin"/>
        </w:r>
        <w:r>
          <w:instrText xml:space="preserve"> PAGEREF _Toc8217 \h </w:instrText>
        </w:r>
        <w:r>
          <w:fldChar w:fldCharType="separate"/>
        </w:r>
        <w:r>
          <w:t>7</w:t>
        </w:r>
        <w:r>
          <w:fldChar w:fldCharType="end"/>
        </w:r>
      </w:hyperlink>
    </w:p>
    <w:p w:rsidR="00405F55" w:rsidRDefault="00000000">
      <w:pPr>
        <w:pStyle w:val="TOC2"/>
        <w:tabs>
          <w:tab w:val="right" w:leader="dot" w:pos="9270"/>
        </w:tabs>
        <w:ind w:left="480"/>
      </w:pPr>
      <w:hyperlink w:anchor="_Toc13451" w:history="1">
        <w:r>
          <w:rPr>
            <w:rFonts w:ascii="宋体" w:eastAsia="宋体" w:hAnsi="宋体" w:cs="宋体" w:hint="eastAsia"/>
            <w:szCs w:val="30"/>
            <w:lang w:eastAsia="zh-CN"/>
          </w:rPr>
          <w:t>4.4普查进度安排</w:t>
        </w:r>
        <w:r>
          <w:tab/>
        </w:r>
        <w:r>
          <w:fldChar w:fldCharType="begin"/>
        </w:r>
        <w:r>
          <w:instrText xml:space="preserve"> PAGEREF _Toc13451 \h </w:instrText>
        </w:r>
        <w:r>
          <w:fldChar w:fldCharType="separate"/>
        </w:r>
        <w:r>
          <w:t>9</w:t>
        </w:r>
        <w:r>
          <w:fldChar w:fldCharType="end"/>
        </w:r>
      </w:hyperlink>
    </w:p>
    <w:p w:rsidR="00405F55" w:rsidRDefault="00000000">
      <w:pPr>
        <w:pStyle w:val="TOC2"/>
        <w:tabs>
          <w:tab w:val="right" w:leader="dot" w:pos="9270"/>
        </w:tabs>
        <w:ind w:left="480"/>
      </w:pPr>
      <w:hyperlink w:anchor="_Toc30499" w:history="1">
        <w:r>
          <w:rPr>
            <w:rFonts w:ascii="宋体" w:eastAsia="宋体" w:hAnsi="宋体" w:cs="宋体" w:hint="eastAsia"/>
            <w:szCs w:val="30"/>
            <w:lang w:eastAsia="zh-CN"/>
          </w:rPr>
          <w:t>4.5普查工作流程</w:t>
        </w:r>
        <w:r>
          <w:tab/>
        </w:r>
        <w:r>
          <w:fldChar w:fldCharType="begin"/>
        </w:r>
        <w:r>
          <w:instrText xml:space="preserve"> PAGEREF _Toc30499 \h </w:instrText>
        </w:r>
        <w:r>
          <w:fldChar w:fldCharType="separate"/>
        </w:r>
        <w:r>
          <w:t>9</w:t>
        </w:r>
        <w:r>
          <w:fldChar w:fldCharType="end"/>
        </w:r>
      </w:hyperlink>
    </w:p>
    <w:p w:rsidR="00405F55" w:rsidRDefault="00000000">
      <w:pPr>
        <w:pStyle w:val="TOC2"/>
        <w:tabs>
          <w:tab w:val="right" w:leader="dot" w:pos="9270"/>
        </w:tabs>
        <w:ind w:left="480"/>
      </w:pPr>
      <w:hyperlink w:anchor="_Toc19536" w:history="1">
        <w:r>
          <w:rPr>
            <w:rFonts w:ascii="宋体" w:eastAsia="宋体" w:hAnsi="宋体" w:cs="宋体" w:hint="eastAsia"/>
            <w:szCs w:val="30"/>
            <w:lang w:eastAsia="zh-CN"/>
          </w:rPr>
          <w:t>4.6主要成果</w:t>
        </w:r>
        <w:r>
          <w:tab/>
        </w:r>
        <w:r>
          <w:fldChar w:fldCharType="begin"/>
        </w:r>
        <w:r>
          <w:instrText xml:space="preserve"> PAGEREF _Toc19536 \h </w:instrText>
        </w:r>
        <w:r>
          <w:fldChar w:fldCharType="separate"/>
        </w:r>
        <w:r>
          <w:t>11</w:t>
        </w:r>
        <w:r>
          <w:fldChar w:fldCharType="end"/>
        </w:r>
      </w:hyperlink>
    </w:p>
    <w:p w:rsidR="00405F55" w:rsidRDefault="00000000">
      <w:pPr>
        <w:pStyle w:val="TOC1"/>
        <w:tabs>
          <w:tab w:val="right" w:leader="dot" w:pos="9270"/>
        </w:tabs>
      </w:pPr>
      <w:hyperlink w:anchor="_Toc31018" w:history="1">
        <w:r>
          <w:rPr>
            <w:rFonts w:ascii="微软雅黑" w:eastAsia="微软雅黑" w:hAnsi="微软雅黑" w:cs="微软雅黑" w:hint="eastAsia"/>
            <w:szCs w:val="32"/>
          </w:rPr>
          <w:t>5 土壤三普的准备工作</w:t>
        </w:r>
        <w:r>
          <w:tab/>
        </w:r>
        <w:r>
          <w:fldChar w:fldCharType="begin"/>
        </w:r>
        <w:r>
          <w:instrText xml:space="preserve"> PAGEREF _Toc31018 \h </w:instrText>
        </w:r>
        <w:r>
          <w:fldChar w:fldCharType="separate"/>
        </w:r>
        <w:r>
          <w:t>11</w:t>
        </w:r>
        <w:r>
          <w:fldChar w:fldCharType="end"/>
        </w:r>
      </w:hyperlink>
    </w:p>
    <w:p w:rsidR="00405F55" w:rsidRDefault="00000000">
      <w:pPr>
        <w:pStyle w:val="TOC2"/>
        <w:tabs>
          <w:tab w:val="right" w:leader="dot" w:pos="9270"/>
        </w:tabs>
        <w:ind w:left="480"/>
      </w:pPr>
      <w:hyperlink w:anchor="_Toc19130" w:history="1">
        <w:r>
          <w:rPr>
            <w:rFonts w:ascii="宋体" w:eastAsia="宋体" w:hAnsi="宋体" w:cs="宋体" w:hint="eastAsia"/>
            <w:szCs w:val="30"/>
            <w:lang w:eastAsia="zh-CN"/>
          </w:rPr>
          <w:t>5.1制定全国工作方案与省级实施方案</w:t>
        </w:r>
        <w:r>
          <w:tab/>
        </w:r>
        <w:r>
          <w:fldChar w:fldCharType="begin"/>
        </w:r>
        <w:r>
          <w:instrText xml:space="preserve"> PAGEREF _Toc19130 \h </w:instrText>
        </w:r>
        <w:r>
          <w:fldChar w:fldCharType="separate"/>
        </w:r>
        <w:r>
          <w:t>11</w:t>
        </w:r>
        <w:r>
          <w:fldChar w:fldCharType="end"/>
        </w:r>
      </w:hyperlink>
    </w:p>
    <w:p w:rsidR="00405F55" w:rsidRDefault="00000000">
      <w:pPr>
        <w:pStyle w:val="TOC2"/>
        <w:tabs>
          <w:tab w:val="right" w:leader="dot" w:pos="9270"/>
        </w:tabs>
        <w:ind w:left="480"/>
      </w:pPr>
      <w:hyperlink w:anchor="_Toc22309" w:history="1">
        <w:r>
          <w:rPr>
            <w:rFonts w:ascii="宋体" w:eastAsia="宋体" w:hAnsi="宋体" w:cs="宋体" w:hint="eastAsia"/>
            <w:szCs w:val="30"/>
            <w:lang w:eastAsia="zh-CN"/>
          </w:rPr>
          <w:t>5.2制定技术规范</w:t>
        </w:r>
        <w:r>
          <w:tab/>
        </w:r>
        <w:r>
          <w:fldChar w:fldCharType="begin"/>
        </w:r>
        <w:r>
          <w:instrText xml:space="preserve"> PAGEREF _Toc22309 \h </w:instrText>
        </w:r>
        <w:r>
          <w:fldChar w:fldCharType="separate"/>
        </w:r>
        <w:r>
          <w:t>11</w:t>
        </w:r>
        <w:r>
          <w:fldChar w:fldCharType="end"/>
        </w:r>
      </w:hyperlink>
    </w:p>
    <w:p w:rsidR="00405F55" w:rsidRDefault="00000000">
      <w:pPr>
        <w:pStyle w:val="TOC2"/>
        <w:tabs>
          <w:tab w:val="right" w:leader="dot" w:pos="9270"/>
        </w:tabs>
        <w:ind w:left="480"/>
      </w:pPr>
      <w:hyperlink w:anchor="_Toc264" w:history="1">
        <w:r>
          <w:rPr>
            <w:rFonts w:ascii="宋体" w:eastAsia="宋体" w:hAnsi="宋体" w:cs="宋体" w:hint="eastAsia"/>
            <w:szCs w:val="30"/>
          </w:rPr>
          <w:t>5.</w:t>
        </w:r>
        <w:r>
          <w:rPr>
            <w:rFonts w:ascii="宋体" w:eastAsia="宋体" w:hAnsi="宋体" w:cs="宋体" w:hint="eastAsia"/>
            <w:szCs w:val="30"/>
            <w:lang w:eastAsia="zh-CN"/>
          </w:rPr>
          <w:t>3筹建土壤三普技术专家组</w:t>
        </w:r>
        <w:r>
          <w:tab/>
        </w:r>
        <w:r>
          <w:fldChar w:fldCharType="begin"/>
        </w:r>
        <w:r>
          <w:instrText xml:space="preserve"> PAGEREF _Toc264 \h </w:instrText>
        </w:r>
        <w:r>
          <w:fldChar w:fldCharType="separate"/>
        </w:r>
        <w:r>
          <w:t>12</w:t>
        </w:r>
        <w:r>
          <w:fldChar w:fldCharType="end"/>
        </w:r>
      </w:hyperlink>
    </w:p>
    <w:p w:rsidR="00405F55" w:rsidRDefault="00000000">
      <w:pPr>
        <w:pStyle w:val="TOC2"/>
        <w:tabs>
          <w:tab w:val="right" w:leader="dot" w:pos="9270"/>
        </w:tabs>
        <w:ind w:left="480"/>
      </w:pPr>
      <w:hyperlink w:anchor="_Toc32094" w:history="1">
        <w:r>
          <w:rPr>
            <w:rFonts w:ascii="宋体" w:eastAsia="宋体" w:hAnsi="宋体" w:cs="宋体" w:hint="eastAsia"/>
            <w:szCs w:val="30"/>
          </w:rPr>
          <w:t>5. 4编制土壤普查工作经费预算方案</w:t>
        </w:r>
        <w:r>
          <w:tab/>
        </w:r>
        <w:r>
          <w:fldChar w:fldCharType="begin"/>
        </w:r>
        <w:r>
          <w:instrText xml:space="preserve"> PAGEREF _Toc32094 \h </w:instrText>
        </w:r>
        <w:r>
          <w:fldChar w:fldCharType="separate"/>
        </w:r>
        <w:r>
          <w:t>12</w:t>
        </w:r>
        <w:r>
          <w:fldChar w:fldCharType="end"/>
        </w:r>
      </w:hyperlink>
    </w:p>
    <w:p w:rsidR="00405F55" w:rsidRDefault="00000000">
      <w:pPr>
        <w:pStyle w:val="TOC2"/>
        <w:tabs>
          <w:tab w:val="right" w:leader="dot" w:pos="9270"/>
        </w:tabs>
        <w:ind w:left="480"/>
      </w:pPr>
      <w:hyperlink w:anchor="_Toc16681" w:history="1">
        <w:r>
          <w:rPr>
            <w:rFonts w:ascii="宋体" w:eastAsia="宋体" w:hAnsi="宋体" w:cs="宋体" w:hint="eastAsia"/>
            <w:szCs w:val="30"/>
          </w:rPr>
          <w:t>5.5筛选测试化验实验室</w:t>
        </w:r>
        <w:r>
          <w:tab/>
        </w:r>
        <w:r>
          <w:fldChar w:fldCharType="begin"/>
        </w:r>
        <w:r>
          <w:instrText xml:space="preserve"> PAGEREF _Toc16681 \h </w:instrText>
        </w:r>
        <w:r>
          <w:fldChar w:fldCharType="separate"/>
        </w:r>
        <w:r>
          <w:t>13</w:t>
        </w:r>
        <w:r>
          <w:fldChar w:fldCharType="end"/>
        </w:r>
      </w:hyperlink>
    </w:p>
    <w:p w:rsidR="00405F55" w:rsidRDefault="00000000">
      <w:pPr>
        <w:pStyle w:val="TOC2"/>
        <w:tabs>
          <w:tab w:val="right" w:leader="dot" w:pos="9270"/>
        </w:tabs>
        <w:ind w:left="480"/>
      </w:pPr>
      <w:hyperlink w:anchor="_Toc1735" w:history="1">
        <w:r>
          <w:rPr>
            <w:rFonts w:ascii="宋体" w:eastAsia="宋体" w:hAnsi="宋体" w:cs="宋体" w:hint="eastAsia"/>
            <w:szCs w:val="30"/>
          </w:rPr>
          <w:t>5.6数据安全与保密规定</w:t>
        </w:r>
        <w:r>
          <w:tab/>
        </w:r>
        <w:r>
          <w:fldChar w:fldCharType="begin"/>
        </w:r>
        <w:r>
          <w:instrText xml:space="preserve"> PAGEREF _Toc1735 \h </w:instrText>
        </w:r>
        <w:r>
          <w:fldChar w:fldCharType="separate"/>
        </w:r>
        <w:r>
          <w:t>14</w:t>
        </w:r>
        <w:r>
          <w:fldChar w:fldCharType="end"/>
        </w:r>
      </w:hyperlink>
    </w:p>
    <w:p w:rsidR="00405F55" w:rsidRDefault="00000000">
      <w:pPr>
        <w:pStyle w:val="TOC1"/>
        <w:tabs>
          <w:tab w:val="right" w:leader="dot" w:pos="9270"/>
        </w:tabs>
      </w:pPr>
      <w:hyperlink w:anchor="_Toc4270" w:history="1">
        <w:r>
          <w:rPr>
            <w:rFonts w:ascii="微软雅黑" w:eastAsia="微软雅黑" w:hAnsi="微软雅黑" w:cs="微软雅黑" w:hint="eastAsia"/>
            <w:szCs w:val="32"/>
          </w:rPr>
          <w:t>6 土壤普查工作平台</w:t>
        </w:r>
        <w:r>
          <w:tab/>
        </w:r>
        <w:r>
          <w:fldChar w:fldCharType="begin"/>
        </w:r>
        <w:r>
          <w:instrText xml:space="preserve"> PAGEREF _Toc4270 \h </w:instrText>
        </w:r>
        <w:r>
          <w:fldChar w:fldCharType="separate"/>
        </w:r>
        <w:r>
          <w:t>14</w:t>
        </w:r>
        <w:r>
          <w:fldChar w:fldCharType="end"/>
        </w:r>
      </w:hyperlink>
    </w:p>
    <w:p w:rsidR="00405F55" w:rsidRDefault="00000000">
      <w:pPr>
        <w:pStyle w:val="TOC2"/>
        <w:tabs>
          <w:tab w:val="right" w:leader="dot" w:pos="9270"/>
        </w:tabs>
        <w:ind w:left="480"/>
      </w:pPr>
      <w:hyperlink w:anchor="_Toc5797" w:history="1">
        <w:r>
          <w:rPr>
            <w:rFonts w:ascii="宋体" w:eastAsia="宋体" w:hAnsi="宋体" w:cs="宋体" w:hint="eastAsia"/>
            <w:szCs w:val="30"/>
          </w:rPr>
          <w:t>6.1制作土壤普查工作底图</w:t>
        </w:r>
        <w:r>
          <w:tab/>
        </w:r>
        <w:r>
          <w:fldChar w:fldCharType="begin"/>
        </w:r>
        <w:r>
          <w:instrText xml:space="preserve"> PAGEREF _Toc5797 \h </w:instrText>
        </w:r>
        <w:r>
          <w:fldChar w:fldCharType="separate"/>
        </w:r>
        <w:r>
          <w:t>14</w:t>
        </w:r>
        <w:r>
          <w:fldChar w:fldCharType="end"/>
        </w:r>
      </w:hyperlink>
    </w:p>
    <w:p w:rsidR="00405F55" w:rsidRDefault="00000000">
      <w:pPr>
        <w:pStyle w:val="TOC2"/>
        <w:tabs>
          <w:tab w:val="right" w:leader="dot" w:pos="9270"/>
        </w:tabs>
        <w:ind w:left="480"/>
      </w:pPr>
      <w:hyperlink w:anchor="_Toc3738" w:history="1">
        <w:r>
          <w:rPr>
            <w:rFonts w:ascii="宋体" w:eastAsia="宋体" w:hAnsi="宋体" w:cs="宋体" w:hint="eastAsia"/>
            <w:szCs w:val="30"/>
          </w:rPr>
          <w:t>6.2</w:t>
        </w:r>
        <w:r>
          <w:rPr>
            <w:rFonts w:ascii="宋体" w:eastAsia="宋体" w:hAnsi="宋体" w:cs="宋体" w:hint="eastAsia"/>
            <w:szCs w:val="30"/>
            <w:lang w:eastAsia="zh-CN"/>
          </w:rPr>
          <w:t xml:space="preserve">  </w:t>
        </w:r>
        <w:r>
          <w:rPr>
            <w:rFonts w:ascii="宋体" w:eastAsia="宋体" w:hAnsi="宋体" w:cs="宋体" w:hint="eastAsia"/>
            <w:szCs w:val="30"/>
          </w:rPr>
          <w:t>样点预布设</w:t>
        </w:r>
        <w:r>
          <w:tab/>
        </w:r>
        <w:r>
          <w:fldChar w:fldCharType="begin"/>
        </w:r>
        <w:r>
          <w:instrText xml:space="preserve"> PAGEREF _Toc3738 \h </w:instrText>
        </w:r>
        <w:r>
          <w:fldChar w:fldCharType="separate"/>
        </w:r>
        <w:r>
          <w:t>14</w:t>
        </w:r>
        <w:r>
          <w:fldChar w:fldCharType="end"/>
        </w:r>
      </w:hyperlink>
    </w:p>
    <w:p w:rsidR="00405F55" w:rsidRDefault="00000000">
      <w:pPr>
        <w:pStyle w:val="TOC2"/>
        <w:tabs>
          <w:tab w:val="right" w:leader="dot" w:pos="9270"/>
        </w:tabs>
        <w:ind w:left="480"/>
      </w:pPr>
      <w:hyperlink w:anchor="_Toc13059" w:history="1">
        <w:r>
          <w:rPr>
            <w:rFonts w:ascii="宋体" w:eastAsia="宋体" w:hAnsi="宋体" w:cs="宋体" w:hint="eastAsia"/>
            <w:szCs w:val="30"/>
          </w:rPr>
          <w:t>6.3研发土壤普查工作平台系统</w:t>
        </w:r>
        <w:r>
          <w:tab/>
        </w:r>
        <w:r>
          <w:fldChar w:fldCharType="begin"/>
        </w:r>
        <w:r>
          <w:instrText xml:space="preserve"> PAGEREF _Toc13059 \h </w:instrText>
        </w:r>
        <w:r>
          <w:fldChar w:fldCharType="separate"/>
        </w:r>
        <w:r>
          <w:t>16</w:t>
        </w:r>
        <w:r>
          <w:fldChar w:fldCharType="end"/>
        </w:r>
      </w:hyperlink>
    </w:p>
    <w:p w:rsidR="00405F55" w:rsidRDefault="00000000">
      <w:pPr>
        <w:pStyle w:val="TOC1"/>
        <w:tabs>
          <w:tab w:val="right" w:leader="dot" w:pos="9270"/>
        </w:tabs>
      </w:pPr>
      <w:hyperlink w:anchor="_Toc16704" w:history="1">
        <w:r>
          <w:rPr>
            <w:rFonts w:ascii="微软雅黑" w:eastAsia="微软雅黑" w:hAnsi="微软雅黑" w:cs="微软雅黑" w:hint="eastAsia"/>
            <w:szCs w:val="32"/>
          </w:rPr>
          <w:t>7 土壤普查试点</w:t>
        </w:r>
        <w:r>
          <w:tab/>
        </w:r>
        <w:r>
          <w:fldChar w:fldCharType="begin"/>
        </w:r>
        <w:r>
          <w:instrText xml:space="preserve"> PAGEREF _Toc16704 \h </w:instrText>
        </w:r>
        <w:r>
          <w:fldChar w:fldCharType="separate"/>
        </w:r>
        <w:r>
          <w:t>18</w:t>
        </w:r>
        <w:r>
          <w:fldChar w:fldCharType="end"/>
        </w:r>
      </w:hyperlink>
    </w:p>
    <w:p w:rsidR="00405F55" w:rsidRDefault="00000000">
      <w:pPr>
        <w:pStyle w:val="TOC2"/>
        <w:tabs>
          <w:tab w:val="right" w:leader="dot" w:pos="9270"/>
        </w:tabs>
        <w:ind w:left="480"/>
      </w:pPr>
      <w:hyperlink w:anchor="_Toc16211" w:history="1">
        <w:r>
          <w:rPr>
            <w:rFonts w:ascii="宋体" w:eastAsia="宋体" w:hAnsi="宋体" w:cs="宋体" w:hint="eastAsia"/>
            <w:szCs w:val="30"/>
          </w:rPr>
          <w:t>7.1试点区域选定</w:t>
        </w:r>
        <w:r>
          <w:tab/>
        </w:r>
        <w:r>
          <w:fldChar w:fldCharType="begin"/>
        </w:r>
        <w:r>
          <w:instrText xml:space="preserve"> PAGEREF _Toc16211 \h </w:instrText>
        </w:r>
        <w:r>
          <w:fldChar w:fldCharType="separate"/>
        </w:r>
        <w:r>
          <w:t>18</w:t>
        </w:r>
        <w:r>
          <w:fldChar w:fldCharType="end"/>
        </w:r>
      </w:hyperlink>
    </w:p>
    <w:p w:rsidR="00405F55" w:rsidRDefault="00000000">
      <w:pPr>
        <w:pStyle w:val="TOC2"/>
        <w:tabs>
          <w:tab w:val="right" w:leader="dot" w:pos="9270"/>
        </w:tabs>
        <w:ind w:left="480"/>
      </w:pPr>
      <w:hyperlink w:anchor="_Toc4069" w:history="1">
        <w:r>
          <w:rPr>
            <w:rFonts w:ascii="宋体" w:eastAsia="宋体" w:hAnsi="宋体" w:cs="宋体" w:hint="eastAsia"/>
            <w:szCs w:val="30"/>
          </w:rPr>
          <w:t>7.2培训普查技术队伍</w:t>
        </w:r>
        <w:r>
          <w:tab/>
        </w:r>
        <w:r>
          <w:fldChar w:fldCharType="begin"/>
        </w:r>
        <w:r>
          <w:instrText xml:space="preserve"> PAGEREF _Toc4069 \h </w:instrText>
        </w:r>
        <w:r>
          <w:fldChar w:fldCharType="separate"/>
        </w:r>
        <w:r>
          <w:t>18</w:t>
        </w:r>
        <w:r>
          <w:fldChar w:fldCharType="end"/>
        </w:r>
      </w:hyperlink>
    </w:p>
    <w:p w:rsidR="00405F55" w:rsidRDefault="00000000">
      <w:pPr>
        <w:pStyle w:val="TOC2"/>
        <w:tabs>
          <w:tab w:val="right" w:leader="dot" w:pos="9270"/>
        </w:tabs>
        <w:ind w:left="480"/>
      </w:pPr>
      <w:hyperlink w:anchor="_Toc1984" w:history="1">
        <w:r>
          <w:rPr>
            <w:rFonts w:ascii="宋体" w:eastAsia="宋体" w:hAnsi="宋体" w:cs="宋体" w:hint="eastAsia"/>
            <w:szCs w:val="30"/>
          </w:rPr>
          <w:t>7.3制定试点工作方案</w:t>
        </w:r>
        <w:r>
          <w:tab/>
        </w:r>
        <w:r>
          <w:fldChar w:fldCharType="begin"/>
        </w:r>
        <w:r>
          <w:instrText xml:space="preserve"> PAGEREF _Toc1984 \h </w:instrText>
        </w:r>
        <w:r>
          <w:fldChar w:fldCharType="separate"/>
        </w:r>
        <w:r>
          <w:t>18</w:t>
        </w:r>
        <w:r>
          <w:fldChar w:fldCharType="end"/>
        </w:r>
      </w:hyperlink>
    </w:p>
    <w:p w:rsidR="00405F55" w:rsidRDefault="00000000">
      <w:pPr>
        <w:pStyle w:val="TOC2"/>
        <w:tabs>
          <w:tab w:val="right" w:leader="dot" w:pos="9270"/>
        </w:tabs>
        <w:ind w:left="480"/>
      </w:pPr>
      <w:hyperlink w:anchor="_Toc17832" w:history="1">
        <w:r>
          <w:rPr>
            <w:rFonts w:ascii="宋体" w:eastAsia="宋体" w:hAnsi="宋体" w:cs="宋体" w:hint="eastAsia"/>
            <w:szCs w:val="30"/>
            <w:lang w:eastAsia="zh-CN"/>
          </w:rPr>
          <w:t>7.</w:t>
        </w:r>
        <w:r>
          <w:rPr>
            <w:rFonts w:ascii="宋体" w:eastAsia="宋体" w:hAnsi="宋体" w:cs="宋体" w:hint="eastAsia"/>
            <w:szCs w:val="30"/>
          </w:rPr>
          <w:t>4开展试点</w:t>
        </w:r>
        <w:r>
          <w:tab/>
        </w:r>
        <w:r>
          <w:fldChar w:fldCharType="begin"/>
        </w:r>
        <w:r>
          <w:instrText xml:space="preserve"> PAGEREF _Toc17832 \h </w:instrText>
        </w:r>
        <w:r>
          <w:fldChar w:fldCharType="separate"/>
        </w:r>
        <w:r>
          <w:t>18</w:t>
        </w:r>
        <w:r>
          <w:fldChar w:fldCharType="end"/>
        </w:r>
      </w:hyperlink>
    </w:p>
    <w:p w:rsidR="00405F55" w:rsidRDefault="00000000">
      <w:pPr>
        <w:pStyle w:val="TOC1"/>
        <w:tabs>
          <w:tab w:val="right" w:leader="dot" w:pos="9270"/>
        </w:tabs>
      </w:pPr>
      <w:hyperlink w:anchor="_Toc13560" w:history="1">
        <w:r>
          <w:rPr>
            <w:rFonts w:ascii="微软雅黑" w:eastAsia="微软雅黑" w:hAnsi="微软雅黑" w:cs="微软雅黑" w:hint="eastAsia"/>
            <w:szCs w:val="32"/>
          </w:rPr>
          <w:t>8外业调查采样</w:t>
        </w:r>
        <w:r>
          <w:tab/>
        </w:r>
        <w:r>
          <w:fldChar w:fldCharType="begin"/>
        </w:r>
        <w:r>
          <w:instrText xml:space="preserve"> PAGEREF _Toc13560 \h </w:instrText>
        </w:r>
        <w:r>
          <w:fldChar w:fldCharType="separate"/>
        </w:r>
        <w:r>
          <w:t>19</w:t>
        </w:r>
        <w:r>
          <w:fldChar w:fldCharType="end"/>
        </w:r>
      </w:hyperlink>
    </w:p>
    <w:p w:rsidR="00405F55" w:rsidRDefault="00000000">
      <w:pPr>
        <w:pStyle w:val="TOC2"/>
        <w:tabs>
          <w:tab w:val="right" w:leader="dot" w:pos="9270"/>
        </w:tabs>
        <w:ind w:left="480"/>
      </w:pPr>
      <w:hyperlink w:anchor="_Toc24477" w:history="1">
        <w:r>
          <w:rPr>
            <w:rFonts w:ascii="宋体" w:eastAsia="宋体" w:hAnsi="宋体" w:cs="宋体" w:hint="eastAsia"/>
            <w:szCs w:val="30"/>
            <w:lang w:eastAsia="zh-CN"/>
          </w:rPr>
          <w:t xml:space="preserve">8.1  </w:t>
        </w:r>
        <w:r>
          <w:rPr>
            <w:rFonts w:ascii="宋体" w:eastAsia="宋体" w:hAnsi="宋体" w:cs="宋体" w:hint="eastAsia"/>
            <w:szCs w:val="30"/>
          </w:rPr>
          <w:t>外业调查与采样技术规范</w:t>
        </w:r>
        <w:r>
          <w:tab/>
        </w:r>
        <w:r>
          <w:fldChar w:fldCharType="begin"/>
        </w:r>
        <w:r>
          <w:instrText xml:space="preserve"> PAGEREF _Toc24477 \h </w:instrText>
        </w:r>
        <w:r>
          <w:fldChar w:fldCharType="separate"/>
        </w:r>
        <w:r>
          <w:t>19</w:t>
        </w:r>
        <w:r>
          <w:fldChar w:fldCharType="end"/>
        </w:r>
      </w:hyperlink>
    </w:p>
    <w:p w:rsidR="00405F55" w:rsidRDefault="00000000">
      <w:pPr>
        <w:pStyle w:val="TOC2"/>
        <w:tabs>
          <w:tab w:val="right" w:leader="dot" w:pos="9270"/>
        </w:tabs>
        <w:ind w:left="480"/>
      </w:pPr>
      <w:hyperlink w:anchor="_Toc23264" w:history="1">
        <w:r>
          <w:rPr>
            <w:rFonts w:ascii="宋体" w:eastAsia="宋体" w:hAnsi="宋体" w:cs="宋体" w:hint="eastAsia"/>
            <w:szCs w:val="30"/>
            <w:lang w:eastAsia="zh-CN"/>
          </w:rPr>
          <w:t>8.2  外业调查采样组织</w:t>
        </w:r>
        <w:r>
          <w:tab/>
        </w:r>
        <w:r>
          <w:fldChar w:fldCharType="begin"/>
        </w:r>
        <w:r>
          <w:instrText xml:space="preserve"> PAGEREF _Toc23264 \h </w:instrText>
        </w:r>
        <w:r>
          <w:fldChar w:fldCharType="separate"/>
        </w:r>
        <w:r>
          <w:t>19</w:t>
        </w:r>
        <w:r>
          <w:fldChar w:fldCharType="end"/>
        </w:r>
      </w:hyperlink>
    </w:p>
    <w:p w:rsidR="00405F55" w:rsidRDefault="00000000">
      <w:pPr>
        <w:pStyle w:val="TOC2"/>
        <w:tabs>
          <w:tab w:val="right" w:leader="dot" w:pos="9270"/>
        </w:tabs>
        <w:ind w:left="480"/>
      </w:pPr>
      <w:hyperlink w:anchor="_Toc7554" w:history="1">
        <w:r>
          <w:rPr>
            <w:rFonts w:ascii="宋体" w:eastAsia="宋体" w:hAnsi="宋体" w:cs="宋体" w:hint="eastAsia"/>
            <w:szCs w:val="30"/>
            <w:lang w:eastAsia="zh-CN"/>
          </w:rPr>
          <w:t>8.3外业调查采样任务</w:t>
        </w:r>
        <w:r>
          <w:tab/>
        </w:r>
        <w:r>
          <w:fldChar w:fldCharType="begin"/>
        </w:r>
        <w:r>
          <w:instrText xml:space="preserve"> PAGEREF _Toc7554 \h </w:instrText>
        </w:r>
        <w:r>
          <w:fldChar w:fldCharType="separate"/>
        </w:r>
        <w:r>
          <w:t>20</w:t>
        </w:r>
        <w:r>
          <w:fldChar w:fldCharType="end"/>
        </w:r>
      </w:hyperlink>
    </w:p>
    <w:p w:rsidR="00405F55" w:rsidRDefault="00000000">
      <w:pPr>
        <w:pStyle w:val="TOC2"/>
        <w:tabs>
          <w:tab w:val="right" w:leader="dot" w:pos="9270"/>
        </w:tabs>
        <w:ind w:left="480"/>
      </w:pPr>
      <w:hyperlink w:anchor="_Toc18520" w:history="1">
        <w:r>
          <w:rPr>
            <w:rFonts w:ascii="宋体" w:eastAsia="宋体" w:hAnsi="宋体" w:cs="宋体" w:hint="eastAsia"/>
            <w:szCs w:val="30"/>
          </w:rPr>
          <w:t xml:space="preserve">8. </w:t>
        </w:r>
        <w:r>
          <w:rPr>
            <w:rFonts w:ascii="宋体" w:eastAsia="宋体" w:hAnsi="宋体" w:cs="宋体" w:hint="eastAsia"/>
            <w:szCs w:val="30"/>
            <w:lang w:eastAsia="zh-CN"/>
          </w:rPr>
          <w:t>4外业调查采样的质量控制</w:t>
        </w:r>
        <w:r>
          <w:tab/>
        </w:r>
        <w:r>
          <w:fldChar w:fldCharType="begin"/>
        </w:r>
        <w:r>
          <w:instrText xml:space="preserve"> PAGEREF _Toc18520 \h </w:instrText>
        </w:r>
        <w:r>
          <w:fldChar w:fldCharType="separate"/>
        </w:r>
        <w:r>
          <w:t>21</w:t>
        </w:r>
        <w:r>
          <w:fldChar w:fldCharType="end"/>
        </w:r>
      </w:hyperlink>
    </w:p>
    <w:p w:rsidR="00405F55" w:rsidRDefault="00000000">
      <w:pPr>
        <w:pStyle w:val="TOC1"/>
        <w:tabs>
          <w:tab w:val="right" w:leader="dot" w:pos="9270"/>
        </w:tabs>
      </w:pPr>
      <w:hyperlink w:anchor="_Toc21460" w:history="1">
        <w:r>
          <w:rPr>
            <w:rFonts w:ascii="微软雅黑" w:eastAsia="微软雅黑" w:hAnsi="微软雅黑" w:cs="微软雅黑" w:hint="eastAsia"/>
            <w:szCs w:val="32"/>
          </w:rPr>
          <w:t>9内业测试化验</w:t>
        </w:r>
        <w:r>
          <w:tab/>
        </w:r>
        <w:r>
          <w:fldChar w:fldCharType="begin"/>
        </w:r>
        <w:r>
          <w:instrText xml:space="preserve"> PAGEREF _Toc21460 \h </w:instrText>
        </w:r>
        <w:r>
          <w:fldChar w:fldCharType="separate"/>
        </w:r>
        <w:r>
          <w:t>22</w:t>
        </w:r>
        <w:r>
          <w:fldChar w:fldCharType="end"/>
        </w:r>
      </w:hyperlink>
    </w:p>
    <w:p w:rsidR="00405F55" w:rsidRDefault="00000000">
      <w:pPr>
        <w:pStyle w:val="TOC2"/>
        <w:tabs>
          <w:tab w:val="right" w:leader="dot" w:pos="9270"/>
        </w:tabs>
        <w:ind w:left="480"/>
      </w:pPr>
      <w:hyperlink w:anchor="_Toc26617" w:history="1">
        <w:r>
          <w:rPr>
            <w:rFonts w:ascii="宋体" w:eastAsia="宋体" w:hAnsi="宋体" w:cs="宋体" w:hint="eastAsia"/>
            <w:szCs w:val="30"/>
          </w:rPr>
          <w:t xml:space="preserve">9. </w:t>
        </w:r>
        <w:r>
          <w:rPr>
            <w:rFonts w:ascii="宋体" w:eastAsia="宋体" w:hAnsi="宋体" w:cs="宋体" w:hint="eastAsia"/>
            <w:szCs w:val="30"/>
            <w:lang w:eastAsia="zh-CN"/>
          </w:rPr>
          <w:t>1 土壤样品制备与检测技术规范</w:t>
        </w:r>
        <w:r>
          <w:tab/>
        </w:r>
        <w:r>
          <w:fldChar w:fldCharType="begin"/>
        </w:r>
        <w:r>
          <w:instrText xml:space="preserve"> PAGEREF _Toc26617 \h </w:instrText>
        </w:r>
        <w:r>
          <w:fldChar w:fldCharType="separate"/>
        </w:r>
        <w:r>
          <w:t>22</w:t>
        </w:r>
        <w:r>
          <w:fldChar w:fldCharType="end"/>
        </w:r>
      </w:hyperlink>
    </w:p>
    <w:p w:rsidR="00405F55" w:rsidRDefault="00000000">
      <w:pPr>
        <w:pStyle w:val="TOC2"/>
        <w:tabs>
          <w:tab w:val="right" w:leader="dot" w:pos="9270"/>
        </w:tabs>
        <w:ind w:left="480"/>
      </w:pPr>
      <w:hyperlink w:anchor="_Toc17901" w:history="1">
        <w:r>
          <w:rPr>
            <w:rFonts w:ascii="宋体" w:eastAsia="宋体" w:hAnsi="宋体" w:cs="宋体" w:hint="eastAsia"/>
            <w:szCs w:val="30"/>
          </w:rPr>
          <w:t>9. 2样品制备与分发</w:t>
        </w:r>
        <w:r>
          <w:tab/>
        </w:r>
        <w:r>
          <w:fldChar w:fldCharType="begin"/>
        </w:r>
        <w:r>
          <w:instrText xml:space="preserve"> PAGEREF _Toc17901 \h </w:instrText>
        </w:r>
        <w:r>
          <w:fldChar w:fldCharType="separate"/>
        </w:r>
        <w:r>
          <w:t>22</w:t>
        </w:r>
        <w:r>
          <w:fldChar w:fldCharType="end"/>
        </w:r>
      </w:hyperlink>
    </w:p>
    <w:p w:rsidR="00405F55" w:rsidRDefault="00000000">
      <w:pPr>
        <w:pStyle w:val="TOC2"/>
        <w:tabs>
          <w:tab w:val="right" w:leader="dot" w:pos="9270"/>
        </w:tabs>
        <w:ind w:left="480"/>
      </w:pPr>
      <w:hyperlink w:anchor="_Toc25175" w:history="1">
        <w:r>
          <w:rPr>
            <w:rFonts w:ascii="宋体" w:eastAsia="宋体" w:hAnsi="宋体" w:cs="宋体" w:hint="eastAsia"/>
            <w:szCs w:val="30"/>
          </w:rPr>
          <w:t>9. 3 土壤理化测试指标与方法</w:t>
        </w:r>
        <w:r>
          <w:tab/>
        </w:r>
        <w:r>
          <w:fldChar w:fldCharType="begin"/>
        </w:r>
        <w:r>
          <w:instrText xml:space="preserve"> PAGEREF _Toc25175 \h </w:instrText>
        </w:r>
        <w:r>
          <w:fldChar w:fldCharType="separate"/>
        </w:r>
        <w:r>
          <w:t>22</w:t>
        </w:r>
        <w:r>
          <w:fldChar w:fldCharType="end"/>
        </w:r>
      </w:hyperlink>
    </w:p>
    <w:p w:rsidR="00405F55" w:rsidRDefault="00000000">
      <w:pPr>
        <w:pStyle w:val="TOC2"/>
        <w:tabs>
          <w:tab w:val="right" w:leader="dot" w:pos="9270"/>
        </w:tabs>
        <w:ind w:left="480"/>
      </w:pPr>
      <w:hyperlink w:anchor="_Toc6641" w:history="1">
        <w:r>
          <w:rPr>
            <w:rFonts w:ascii="宋体" w:eastAsia="宋体" w:hAnsi="宋体" w:cs="宋体" w:hint="eastAsia"/>
            <w:szCs w:val="30"/>
          </w:rPr>
          <w:t>9. 4测试数据填报与审核</w:t>
        </w:r>
        <w:r>
          <w:tab/>
        </w:r>
        <w:r>
          <w:fldChar w:fldCharType="begin"/>
        </w:r>
        <w:r>
          <w:instrText xml:space="preserve"> PAGEREF _Toc6641 \h </w:instrText>
        </w:r>
        <w:r>
          <w:fldChar w:fldCharType="separate"/>
        </w:r>
        <w:r>
          <w:t>22</w:t>
        </w:r>
        <w:r>
          <w:fldChar w:fldCharType="end"/>
        </w:r>
      </w:hyperlink>
    </w:p>
    <w:p w:rsidR="00405F55" w:rsidRDefault="00000000">
      <w:pPr>
        <w:pStyle w:val="TOC2"/>
        <w:tabs>
          <w:tab w:val="right" w:leader="dot" w:pos="9270"/>
        </w:tabs>
        <w:ind w:left="480"/>
      </w:pPr>
      <w:hyperlink w:anchor="_Toc32142" w:history="1">
        <w:r>
          <w:rPr>
            <w:rFonts w:ascii="宋体" w:eastAsia="宋体" w:hAnsi="宋体" w:cs="宋体" w:hint="eastAsia"/>
            <w:szCs w:val="30"/>
          </w:rPr>
          <w:t>9. 5内业测试的质量控制</w:t>
        </w:r>
        <w:r>
          <w:tab/>
        </w:r>
        <w:r>
          <w:fldChar w:fldCharType="begin"/>
        </w:r>
        <w:r>
          <w:instrText xml:space="preserve"> PAGEREF _Toc32142 \h </w:instrText>
        </w:r>
        <w:r>
          <w:fldChar w:fldCharType="separate"/>
        </w:r>
        <w:r>
          <w:t>23</w:t>
        </w:r>
        <w:r>
          <w:fldChar w:fldCharType="end"/>
        </w:r>
      </w:hyperlink>
    </w:p>
    <w:p w:rsidR="00405F55" w:rsidRDefault="00000000">
      <w:pPr>
        <w:pStyle w:val="TOC1"/>
        <w:tabs>
          <w:tab w:val="right" w:leader="dot" w:pos="9270"/>
        </w:tabs>
      </w:pPr>
      <w:hyperlink w:anchor="_Toc24747" w:history="1">
        <w:r>
          <w:rPr>
            <w:rFonts w:ascii="微软雅黑" w:eastAsia="微软雅黑" w:hAnsi="微软雅黑" w:cs="微软雅黑" w:hint="eastAsia"/>
            <w:szCs w:val="32"/>
          </w:rPr>
          <w:t>10 土壤生物调查</w:t>
        </w:r>
        <w:r>
          <w:tab/>
        </w:r>
        <w:r>
          <w:fldChar w:fldCharType="begin"/>
        </w:r>
        <w:r>
          <w:instrText xml:space="preserve"> PAGEREF _Toc24747 \h </w:instrText>
        </w:r>
        <w:r>
          <w:fldChar w:fldCharType="separate"/>
        </w:r>
        <w:r>
          <w:t>23</w:t>
        </w:r>
        <w:r>
          <w:fldChar w:fldCharType="end"/>
        </w:r>
      </w:hyperlink>
    </w:p>
    <w:p w:rsidR="00405F55" w:rsidRDefault="00000000">
      <w:pPr>
        <w:pStyle w:val="TOC2"/>
        <w:tabs>
          <w:tab w:val="right" w:leader="dot" w:pos="9270"/>
        </w:tabs>
        <w:ind w:left="480"/>
      </w:pPr>
      <w:hyperlink w:anchor="_Toc17898" w:history="1">
        <w:r>
          <w:rPr>
            <w:rFonts w:ascii="宋体" w:eastAsia="宋体" w:hAnsi="宋体" w:cs="宋体" w:hint="eastAsia"/>
            <w:szCs w:val="30"/>
          </w:rPr>
          <w:t>10.1 土壤生物调查任务</w:t>
        </w:r>
        <w:r>
          <w:tab/>
        </w:r>
        <w:r>
          <w:fldChar w:fldCharType="begin"/>
        </w:r>
        <w:r>
          <w:instrText xml:space="preserve"> PAGEREF _Toc17898 \h </w:instrText>
        </w:r>
        <w:r>
          <w:fldChar w:fldCharType="separate"/>
        </w:r>
        <w:r>
          <w:t>23</w:t>
        </w:r>
        <w:r>
          <w:fldChar w:fldCharType="end"/>
        </w:r>
      </w:hyperlink>
    </w:p>
    <w:p w:rsidR="00405F55" w:rsidRDefault="00000000">
      <w:pPr>
        <w:pStyle w:val="TOC2"/>
        <w:tabs>
          <w:tab w:val="right" w:leader="dot" w:pos="9270"/>
        </w:tabs>
        <w:ind w:left="480"/>
      </w:pPr>
      <w:hyperlink w:anchor="_Toc2231" w:history="1">
        <w:r>
          <w:rPr>
            <w:rFonts w:ascii="宋体" w:eastAsia="宋体" w:hAnsi="宋体" w:cs="宋体" w:hint="eastAsia"/>
            <w:szCs w:val="30"/>
          </w:rPr>
          <w:t>10.2样点布设与采样测试</w:t>
        </w:r>
        <w:r>
          <w:tab/>
        </w:r>
        <w:r>
          <w:fldChar w:fldCharType="begin"/>
        </w:r>
        <w:r>
          <w:instrText xml:space="preserve"> PAGEREF _Toc2231 \h </w:instrText>
        </w:r>
        <w:r>
          <w:fldChar w:fldCharType="separate"/>
        </w:r>
        <w:r>
          <w:t>23</w:t>
        </w:r>
        <w:r>
          <w:fldChar w:fldCharType="end"/>
        </w:r>
      </w:hyperlink>
    </w:p>
    <w:p w:rsidR="00405F55" w:rsidRDefault="00000000">
      <w:pPr>
        <w:pStyle w:val="TOC2"/>
        <w:tabs>
          <w:tab w:val="right" w:leader="dot" w:pos="9270"/>
        </w:tabs>
        <w:ind w:left="480"/>
      </w:pPr>
      <w:hyperlink w:anchor="_Toc9754" w:history="1">
        <w:r>
          <w:rPr>
            <w:rFonts w:ascii="宋体" w:eastAsia="宋体" w:hAnsi="宋体" w:cs="宋体" w:hint="eastAsia"/>
            <w:szCs w:val="30"/>
            <w:lang w:eastAsia="zh-CN"/>
          </w:rPr>
          <w:t>10.</w:t>
        </w:r>
        <w:r>
          <w:rPr>
            <w:rFonts w:ascii="宋体" w:eastAsia="宋体" w:hAnsi="宋体" w:cs="宋体" w:hint="eastAsia"/>
            <w:szCs w:val="30"/>
          </w:rPr>
          <w:t>3生物调查的成果汇总</w:t>
        </w:r>
        <w:r>
          <w:tab/>
        </w:r>
        <w:r>
          <w:fldChar w:fldCharType="begin"/>
        </w:r>
        <w:r>
          <w:instrText xml:space="preserve"> PAGEREF _Toc9754 \h </w:instrText>
        </w:r>
        <w:r>
          <w:fldChar w:fldCharType="separate"/>
        </w:r>
        <w:r>
          <w:t>24</w:t>
        </w:r>
        <w:r>
          <w:fldChar w:fldCharType="end"/>
        </w:r>
      </w:hyperlink>
    </w:p>
    <w:p w:rsidR="00405F55" w:rsidRDefault="00000000">
      <w:pPr>
        <w:pStyle w:val="TOC1"/>
        <w:tabs>
          <w:tab w:val="right" w:leader="dot" w:pos="9270"/>
        </w:tabs>
      </w:pPr>
      <w:hyperlink w:anchor="_Toc2980" w:history="1">
        <w:r>
          <w:rPr>
            <w:rFonts w:ascii="微软雅黑" w:eastAsia="微软雅黑" w:hAnsi="微软雅黑" w:cs="微软雅黑" w:hint="eastAsia"/>
            <w:szCs w:val="32"/>
          </w:rPr>
          <w:t>11 成果汇总</w:t>
        </w:r>
        <w:r>
          <w:tab/>
        </w:r>
        <w:r>
          <w:fldChar w:fldCharType="begin"/>
        </w:r>
        <w:r>
          <w:instrText xml:space="preserve"> PAGEREF _Toc2980 \h </w:instrText>
        </w:r>
        <w:r>
          <w:fldChar w:fldCharType="separate"/>
        </w:r>
        <w:r>
          <w:t>24</w:t>
        </w:r>
        <w:r>
          <w:fldChar w:fldCharType="end"/>
        </w:r>
      </w:hyperlink>
    </w:p>
    <w:p w:rsidR="00405F55" w:rsidRDefault="00000000">
      <w:pPr>
        <w:pStyle w:val="TOC2"/>
        <w:tabs>
          <w:tab w:val="right" w:leader="dot" w:pos="9270"/>
        </w:tabs>
        <w:ind w:left="480"/>
      </w:pPr>
      <w:hyperlink w:anchor="_Toc2547" w:history="1">
        <w:r>
          <w:rPr>
            <w:rFonts w:ascii="宋体" w:eastAsia="宋体" w:hAnsi="宋体" w:cs="宋体" w:hint="eastAsia"/>
            <w:szCs w:val="30"/>
            <w:lang w:eastAsia="zh-CN"/>
          </w:rPr>
          <w:t>11.1样品库建设</w:t>
        </w:r>
        <w:r>
          <w:tab/>
        </w:r>
        <w:r>
          <w:fldChar w:fldCharType="begin"/>
        </w:r>
        <w:r>
          <w:instrText xml:space="preserve"> PAGEREF _Toc2547 \h </w:instrText>
        </w:r>
        <w:r>
          <w:fldChar w:fldCharType="separate"/>
        </w:r>
        <w:r>
          <w:t>24</w:t>
        </w:r>
        <w:r>
          <w:fldChar w:fldCharType="end"/>
        </w:r>
      </w:hyperlink>
    </w:p>
    <w:p w:rsidR="00405F55" w:rsidRDefault="00000000">
      <w:pPr>
        <w:pStyle w:val="TOC2"/>
        <w:tabs>
          <w:tab w:val="right" w:leader="dot" w:pos="9270"/>
        </w:tabs>
        <w:ind w:left="480"/>
      </w:pPr>
      <w:hyperlink w:anchor="_Toc2049" w:history="1">
        <w:r>
          <w:rPr>
            <w:rFonts w:ascii="宋体" w:eastAsia="宋体" w:hAnsi="宋体" w:cs="宋体" w:hint="eastAsia"/>
            <w:szCs w:val="30"/>
          </w:rPr>
          <w:t>11.</w:t>
        </w:r>
        <w:r>
          <w:rPr>
            <w:rFonts w:ascii="宋体" w:eastAsia="宋体" w:hAnsi="宋体" w:cs="宋体" w:hint="eastAsia"/>
            <w:szCs w:val="30"/>
            <w:lang w:eastAsia="zh-CN"/>
          </w:rPr>
          <w:t>2数据汇交与数据库构建</w:t>
        </w:r>
        <w:r>
          <w:tab/>
        </w:r>
        <w:r>
          <w:fldChar w:fldCharType="begin"/>
        </w:r>
        <w:r>
          <w:instrText xml:space="preserve"> PAGEREF _Toc2049 \h </w:instrText>
        </w:r>
        <w:r>
          <w:fldChar w:fldCharType="separate"/>
        </w:r>
        <w:r>
          <w:t>25</w:t>
        </w:r>
        <w:r>
          <w:fldChar w:fldCharType="end"/>
        </w:r>
      </w:hyperlink>
    </w:p>
    <w:p w:rsidR="00405F55" w:rsidRDefault="00000000">
      <w:pPr>
        <w:pStyle w:val="TOC2"/>
        <w:tabs>
          <w:tab w:val="right" w:leader="dot" w:pos="9270"/>
        </w:tabs>
        <w:ind w:left="480"/>
      </w:pPr>
      <w:hyperlink w:anchor="_Toc27774" w:history="1">
        <w:r>
          <w:rPr>
            <w:rFonts w:ascii="宋体" w:eastAsia="宋体" w:hAnsi="宋体" w:cs="宋体" w:hint="eastAsia"/>
            <w:szCs w:val="30"/>
            <w:lang w:eastAsia="zh-CN"/>
          </w:rPr>
          <w:t>11.</w:t>
        </w:r>
        <w:r>
          <w:rPr>
            <w:rFonts w:ascii="宋体" w:eastAsia="宋体" w:hAnsi="宋体" w:cs="宋体" w:hint="eastAsia"/>
            <w:szCs w:val="30"/>
          </w:rPr>
          <w:t>3 土壤制图</w:t>
        </w:r>
        <w:r>
          <w:tab/>
        </w:r>
        <w:r>
          <w:fldChar w:fldCharType="begin"/>
        </w:r>
        <w:r>
          <w:instrText xml:space="preserve"> PAGEREF _Toc27774 \h </w:instrText>
        </w:r>
        <w:r>
          <w:fldChar w:fldCharType="separate"/>
        </w:r>
        <w:r>
          <w:t>26</w:t>
        </w:r>
        <w:r>
          <w:fldChar w:fldCharType="end"/>
        </w:r>
      </w:hyperlink>
    </w:p>
    <w:p w:rsidR="00405F55" w:rsidRDefault="00000000">
      <w:pPr>
        <w:pStyle w:val="TOC2"/>
        <w:tabs>
          <w:tab w:val="right" w:leader="dot" w:pos="9270"/>
        </w:tabs>
        <w:ind w:left="480"/>
      </w:pPr>
      <w:hyperlink w:anchor="_Toc14498" w:history="1">
        <w:r>
          <w:rPr>
            <w:rFonts w:ascii="宋体" w:eastAsia="宋体" w:hAnsi="宋体" w:cs="宋体" w:hint="eastAsia"/>
            <w:szCs w:val="30"/>
          </w:rPr>
          <w:t>11.</w:t>
        </w:r>
        <w:r>
          <w:rPr>
            <w:rFonts w:ascii="宋体" w:eastAsia="宋体" w:hAnsi="宋体" w:cs="宋体" w:hint="eastAsia"/>
            <w:szCs w:val="30"/>
            <w:lang w:eastAsia="zh-CN"/>
          </w:rPr>
          <w:t>4  总结报告编写</w:t>
        </w:r>
        <w:r>
          <w:tab/>
        </w:r>
        <w:r>
          <w:fldChar w:fldCharType="begin"/>
        </w:r>
        <w:r>
          <w:instrText xml:space="preserve"> PAGEREF _Toc14498 \h </w:instrText>
        </w:r>
        <w:r>
          <w:fldChar w:fldCharType="separate"/>
        </w:r>
        <w:r>
          <w:t>27</w:t>
        </w:r>
        <w:r>
          <w:fldChar w:fldCharType="end"/>
        </w:r>
      </w:hyperlink>
    </w:p>
    <w:p w:rsidR="00405F55" w:rsidRDefault="00000000">
      <w:pPr>
        <w:pStyle w:val="TOC2"/>
        <w:tabs>
          <w:tab w:val="right" w:leader="dot" w:pos="9270"/>
        </w:tabs>
        <w:ind w:left="480"/>
      </w:pPr>
      <w:hyperlink w:anchor="_Toc1211" w:history="1">
        <w:r>
          <w:rPr>
            <w:rFonts w:ascii="宋体" w:eastAsia="宋体" w:hAnsi="宋体" w:cs="宋体" w:hint="eastAsia"/>
            <w:szCs w:val="30"/>
          </w:rPr>
          <w:t>11.</w:t>
        </w:r>
        <w:r>
          <w:rPr>
            <w:rFonts w:ascii="宋体" w:eastAsia="宋体" w:hAnsi="宋体" w:cs="宋体" w:hint="eastAsia"/>
            <w:szCs w:val="30"/>
            <w:lang w:eastAsia="zh-CN"/>
          </w:rPr>
          <w:t>5 土壤普查成果的验收</w:t>
        </w:r>
        <w:r>
          <w:tab/>
        </w:r>
        <w:r>
          <w:fldChar w:fldCharType="begin"/>
        </w:r>
        <w:r>
          <w:instrText xml:space="preserve"> PAGEREF _Toc1211 \h </w:instrText>
        </w:r>
        <w:r>
          <w:fldChar w:fldCharType="separate"/>
        </w:r>
        <w:r>
          <w:t>27</w:t>
        </w:r>
        <w:r>
          <w:fldChar w:fldCharType="end"/>
        </w:r>
      </w:hyperlink>
    </w:p>
    <w:p w:rsidR="00405F55" w:rsidRDefault="00000000">
      <w:pPr>
        <w:pStyle w:val="a6"/>
        <w:tabs>
          <w:tab w:val="left" w:pos="834"/>
          <w:tab w:val="right" w:leader="dot" w:pos="9179"/>
        </w:tabs>
        <w:ind w:firstLine="200"/>
        <w:jc w:val="center"/>
        <w:rPr>
          <w:sz w:val="24"/>
          <w:szCs w:val="24"/>
        </w:rPr>
        <w:sectPr w:rsidR="00405F55">
          <w:footerReference w:type="even" r:id="rId15"/>
          <w:footerReference w:type="default" r:id="rId16"/>
          <w:pgSz w:w="11900" w:h="16840"/>
          <w:pgMar w:top="1457" w:right="1314" w:bottom="1347" w:left="1316" w:header="0" w:footer="397" w:gutter="0"/>
          <w:pgNumType w:start="1"/>
          <w:cols w:space="720"/>
          <w:docGrid w:linePitch="360"/>
        </w:sectPr>
      </w:pPr>
      <w:r>
        <w:rPr>
          <w:rFonts w:hint="eastAsia"/>
          <w:sz w:val="24"/>
          <w:szCs w:val="24"/>
        </w:rPr>
        <w:fldChar w:fldCharType="end"/>
      </w:r>
    </w:p>
    <w:p w:rsidR="00405F55" w:rsidRDefault="00405F55">
      <w:pPr>
        <w:spacing w:line="179" w:lineRule="exact"/>
        <w:rPr>
          <w:sz w:val="14"/>
          <w:szCs w:val="14"/>
        </w:rPr>
      </w:pPr>
    </w:p>
    <w:p w:rsidR="00405F55" w:rsidRDefault="00000000">
      <w:pPr>
        <w:pStyle w:val="1"/>
        <w:spacing w:before="0" w:after="0" w:line="360" w:lineRule="auto"/>
        <w:rPr>
          <w:rFonts w:ascii="微软雅黑" w:eastAsia="微软雅黑" w:hAnsi="微软雅黑" w:cs="微软雅黑"/>
          <w:sz w:val="32"/>
          <w:szCs w:val="32"/>
          <w:lang w:eastAsia="zh-CN"/>
        </w:rPr>
      </w:pPr>
      <w:bookmarkStart w:id="7" w:name="_Toc29967"/>
      <w:r>
        <w:rPr>
          <w:rFonts w:ascii="微软雅黑" w:eastAsia="微软雅黑" w:hAnsi="微软雅黑" w:cs="微软雅黑" w:hint="eastAsia"/>
          <w:sz w:val="32"/>
          <w:szCs w:val="32"/>
          <w:lang w:eastAsia="zh-CN"/>
        </w:rPr>
        <w:t>1适用范围</w:t>
      </w:r>
      <w:bookmarkEnd w:id="7"/>
    </w:p>
    <w:p w:rsidR="00405F55" w:rsidRDefault="00000000">
      <w:pPr>
        <w:pStyle w:val="32"/>
        <w:ind w:firstLineChars="200" w:firstLine="480"/>
        <w:rPr>
          <w:sz w:val="24"/>
          <w:szCs w:val="24"/>
        </w:rPr>
      </w:pPr>
      <w:r>
        <w:rPr>
          <w:sz w:val="24"/>
          <w:szCs w:val="24"/>
        </w:rPr>
        <w:t>本规程规定了第三次全国土壤普查（以下简称“土壤三普”）的总体组织与任务要求，包括资料收集整理与前期准备、外业调查采样与内业测试化验等具体工作流程、质量控制体系、成果汇总与验收等技术规范。</w:t>
      </w:r>
    </w:p>
    <w:p w:rsidR="00405F55" w:rsidRDefault="00000000">
      <w:pPr>
        <w:pStyle w:val="32"/>
        <w:rPr>
          <w:sz w:val="24"/>
          <w:szCs w:val="24"/>
        </w:rPr>
      </w:pPr>
      <w:r>
        <w:rPr>
          <w:sz w:val="24"/>
          <w:szCs w:val="24"/>
        </w:rPr>
        <w:t>本规程适用于土壤三普，也可作为全国或地方性大面积土壤调查或监测工作的参考。</w:t>
      </w:r>
    </w:p>
    <w:p w:rsidR="00405F55" w:rsidRDefault="00000000">
      <w:pPr>
        <w:pStyle w:val="1"/>
        <w:spacing w:before="0" w:after="0" w:line="360" w:lineRule="auto"/>
        <w:rPr>
          <w:rFonts w:ascii="微软雅黑" w:eastAsia="微软雅黑" w:hAnsi="微软雅黑" w:cs="微软雅黑"/>
          <w:sz w:val="32"/>
          <w:szCs w:val="32"/>
          <w:lang w:eastAsia="zh-CN"/>
        </w:rPr>
      </w:pPr>
      <w:bookmarkStart w:id="8" w:name="_Toc14381"/>
      <w:r>
        <w:rPr>
          <w:rFonts w:ascii="微软雅黑" w:eastAsia="微软雅黑" w:hAnsi="微软雅黑" w:cs="微软雅黑" w:hint="eastAsia"/>
          <w:sz w:val="32"/>
          <w:szCs w:val="32"/>
          <w:lang w:eastAsia="zh-CN"/>
        </w:rPr>
        <w:t>2规范性引用文件</w:t>
      </w:r>
      <w:bookmarkEnd w:id="8"/>
    </w:p>
    <w:p w:rsidR="00405F55" w:rsidRDefault="00000000">
      <w:pPr>
        <w:pStyle w:val="32"/>
        <w:ind w:firstLineChars="200" w:firstLine="480"/>
        <w:rPr>
          <w:sz w:val="24"/>
          <w:szCs w:val="24"/>
        </w:rPr>
      </w:pPr>
      <w:r>
        <w:rPr>
          <w:sz w:val="24"/>
          <w:szCs w:val="24"/>
        </w:rPr>
        <w:t>下列文件中的内容通过文中的规范性引用而构成本规程必不可少的条款。其中，注日期的引用文</w:t>
      </w:r>
      <w:r>
        <w:rPr>
          <w:rFonts w:hint="eastAsia"/>
          <w:sz w:val="24"/>
          <w:szCs w:val="24"/>
          <w:lang w:val="en-US"/>
        </w:rPr>
        <w:t>件，</w:t>
      </w:r>
      <w:r>
        <w:rPr>
          <w:sz w:val="24"/>
          <w:szCs w:val="24"/>
        </w:rPr>
        <w:t>仅该日期对应的版本适用于本规程；不注日期的引用文件，其最新版本（包括所有的修改</w:t>
      </w:r>
      <w:r>
        <w:rPr>
          <w:rFonts w:hint="eastAsia"/>
          <w:sz w:val="24"/>
          <w:szCs w:val="24"/>
          <w:lang w:val="en-US"/>
        </w:rPr>
        <w:t>单）</w:t>
      </w:r>
      <w:r>
        <w:rPr>
          <w:sz w:val="24"/>
          <w:szCs w:val="24"/>
        </w:rPr>
        <w:t>适用于本规程。</w:t>
      </w:r>
    </w:p>
    <w:p w:rsidR="00405F55" w:rsidRDefault="00000000">
      <w:pPr>
        <w:pStyle w:val="32"/>
        <w:ind w:firstLineChars="200" w:firstLine="480"/>
        <w:rPr>
          <w:sz w:val="24"/>
          <w:szCs w:val="24"/>
          <w:lang w:val="en-US"/>
        </w:rPr>
      </w:pPr>
      <w:r>
        <w:rPr>
          <w:sz w:val="24"/>
          <w:szCs w:val="24"/>
          <w:lang w:val="en-US"/>
        </w:rPr>
        <w:t>GB/T 17296—2009</w:t>
      </w:r>
      <w:r>
        <w:rPr>
          <w:rFonts w:hint="eastAsia"/>
          <w:sz w:val="24"/>
          <w:szCs w:val="24"/>
          <w:lang w:val="en-US"/>
        </w:rPr>
        <w:t xml:space="preserve">     《中国土壤分类与代码》</w:t>
      </w:r>
    </w:p>
    <w:p w:rsidR="00405F55" w:rsidRDefault="00000000">
      <w:pPr>
        <w:pStyle w:val="32"/>
        <w:ind w:firstLineChars="200" w:firstLine="480"/>
        <w:rPr>
          <w:sz w:val="24"/>
          <w:szCs w:val="24"/>
          <w:lang w:val="en-US"/>
        </w:rPr>
      </w:pPr>
      <w:r>
        <w:rPr>
          <w:sz w:val="24"/>
          <w:szCs w:val="24"/>
          <w:lang w:val="en-US"/>
        </w:rPr>
        <w:t>GB/T 21010—2017</w:t>
      </w:r>
      <w:r>
        <w:rPr>
          <w:rFonts w:hint="eastAsia"/>
          <w:sz w:val="24"/>
          <w:szCs w:val="24"/>
          <w:lang w:val="en-US"/>
        </w:rPr>
        <w:t xml:space="preserve">     《土地利用现状分类》</w:t>
      </w:r>
    </w:p>
    <w:p w:rsidR="00405F55" w:rsidRDefault="00000000">
      <w:pPr>
        <w:pStyle w:val="32"/>
        <w:ind w:firstLineChars="200" w:firstLine="480"/>
        <w:rPr>
          <w:sz w:val="24"/>
          <w:szCs w:val="24"/>
          <w:lang w:val="en-US"/>
        </w:rPr>
      </w:pPr>
      <w:r>
        <w:rPr>
          <w:sz w:val="24"/>
          <w:szCs w:val="24"/>
          <w:lang w:val="en-US"/>
        </w:rPr>
        <w:t>GB/T 33469—2016</w:t>
      </w:r>
      <w:r>
        <w:rPr>
          <w:rFonts w:hint="eastAsia"/>
          <w:sz w:val="24"/>
          <w:szCs w:val="24"/>
          <w:lang w:val="en-US"/>
        </w:rPr>
        <w:t xml:space="preserve">     《耕地质量等级》</w:t>
      </w:r>
    </w:p>
    <w:p w:rsidR="00405F55" w:rsidRDefault="00000000">
      <w:pPr>
        <w:pStyle w:val="32"/>
        <w:ind w:firstLineChars="200" w:firstLine="480"/>
        <w:rPr>
          <w:sz w:val="24"/>
          <w:szCs w:val="24"/>
          <w:lang w:val="en-US"/>
        </w:rPr>
      </w:pPr>
      <w:r>
        <w:rPr>
          <w:sz w:val="24"/>
          <w:szCs w:val="24"/>
          <w:lang w:val="en-US"/>
        </w:rPr>
        <w:t>GB/T 36393—2018</w:t>
      </w:r>
      <w:r>
        <w:rPr>
          <w:rFonts w:hint="eastAsia"/>
          <w:sz w:val="24"/>
          <w:szCs w:val="24"/>
          <w:lang w:val="en-US"/>
        </w:rPr>
        <w:t xml:space="preserve">     </w:t>
      </w:r>
      <w:proofErr w:type="gramStart"/>
      <w:r>
        <w:rPr>
          <w:rFonts w:hint="eastAsia"/>
          <w:sz w:val="24"/>
          <w:szCs w:val="24"/>
          <w:lang w:val="en-US"/>
        </w:rPr>
        <w:t>《</w:t>
      </w:r>
      <w:proofErr w:type="gramEnd"/>
      <w:r>
        <w:rPr>
          <w:rFonts w:hint="eastAsia"/>
          <w:sz w:val="24"/>
          <w:szCs w:val="24"/>
          <w:lang w:val="en-US"/>
        </w:rPr>
        <w:t>土壤质量 自然、 近自然及耕作土壤调查程序指南»</w:t>
      </w:r>
    </w:p>
    <w:p w:rsidR="00405F55" w:rsidRDefault="00000000">
      <w:pPr>
        <w:pStyle w:val="32"/>
        <w:ind w:firstLineChars="200" w:firstLine="480"/>
        <w:rPr>
          <w:sz w:val="24"/>
          <w:szCs w:val="24"/>
          <w:lang w:val="en-US"/>
        </w:rPr>
      </w:pPr>
      <w:r>
        <w:rPr>
          <w:sz w:val="24"/>
          <w:szCs w:val="24"/>
          <w:lang w:val="en-US"/>
        </w:rPr>
        <w:t>GB/T 36501—2018</w:t>
      </w:r>
      <w:r>
        <w:rPr>
          <w:rFonts w:hint="eastAsia"/>
          <w:sz w:val="24"/>
          <w:szCs w:val="24"/>
          <w:lang w:val="en-US"/>
        </w:rPr>
        <w:t xml:space="preserve">     《土壤制图1：25000 1：50000 1：100000中国土壤图用色和图例规范》</w:t>
      </w:r>
    </w:p>
    <w:p w:rsidR="00405F55" w:rsidRDefault="00000000">
      <w:pPr>
        <w:pStyle w:val="32"/>
        <w:ind w:firstLineChars="200" w:firstLine="480"/>
        <w:rPr>
          <w:sz w:val="24"/>
          <w:szCs w:val="24"/>
          <w:lang w:val="en-US"/>
        </w:rPr>
      </w:pPr>
      <w:r>
        <w:rPr>
          <w:sz w:val="24"/>
          <w:szCs w:val="24"/>
          <w:lang w:val="en-US"/>
        </w:rPr>
        <w:t xml:space="preserve">GB/T </w:t>
      </w:r>
      <w:r>
        <w:rPr>
          <w:sz w:val="24"/>
          <w:szCs w:val="24"/>
        </w:rPr>
        <w:t>32726—2016</w:t>
      </w:r>
      <w:r>
        <w:rPr>
          <w:rFonts w:hint="eastAsia"/>
          <w:sz w:val="24"/>
          <w:szCs w:val="24"/>
          <w:lang w:val="en-US"/>
        </w:rPr>
        <w:t xml:space="preserve">     《土壤质量 野外土壤描述》</w:t>
      </w:r>
    </w:p>
    <w:p w:rsidR="00405F55" w:rsidRDefault="00000000">
      <w:pPr>
        <w:pStyle w:val="32"/>
        <w:ind w:firstLineChars="200" w:firstLine="480"/>
        <w:rPr>
          <w:sz w:val="24"/>
          <w:szCs w:val="24"/>
          <w:lang w:val="en-US"/>
        </w:rPr>
      </w:pPr>
      <w:r>
        <w:rPr>
          <w:sz w:val="24"/>
          <w:szCs w:val="24"/>
          <w:lang w:val="en-US"/>
        </w:rPr>
        <w:t xml:space="preserve">GB/T </w:t>
      </w:r>
      <w:r>
        <w:rPr>
          <w:sz w:val="24"/>
          <w:szCs w:val="24"/>
        </w:rPr>
        <w:t>32740—2016</w:t>
      </w:r>
      <w:r>
        <w:rPr>
          <w:rFonts w:hint="eastAsia"/>
          <w:sz w:val="24"/>
          <w:szCs w:val="24"/>
          <w:lang w:val="en-US"/>
        </w:rPr>
        <w:t xml:space="preserve">     《自然生态系统土壤长期监测指南》</w:t>
      </w:r>
    </w:p>
    <w:p w:rsidR="00405F55" w:rsidRDefault="00000000">
      <w:pPr>
        <w:pStyle w:val="32"/>
        <w:ind w:firstLineChars="200" w:firstLine="480"/>
        <w:rPr>
          <w:sz w:val="24"/>
          <w:szCs w:val="24"/>
          <w:lang w:val="en-US"/>
        </w:rPr>
      </w:pPr>
      <w:r>
        <w:rPr>
          <w:sz w:val="24"/>
          <w:szCs w:val="24"/>
          <w:lang w:val="en-US"/>
        </w:rPr>
        <w:t>NY/T 1119—2019</w:t>
      </w:r>
      <w:r>
        <w:rPr>
          <w:rFonts w:hint="eastAsia"/>
          <w:sz w:val="24"/>
          <w:szCs w:val="24"/>
          <w:lang w:val="en-US"/>
        </w:rPr>
        <w:t xml:space="preserve">      《耕地质量监测技术规程》</w:t>
      </w:r>
      <w:r>
        <w:rPr>
          <w:rFonts w:hint="eastAsia"/>
          <w:sz w:val="24"/>
          <w:szCs w:val="24"/>
          <w:lang w:val="en-US"/>
        </w:rPr>
        <w:tab/>
      </w:r>
    </w:p>
    <w:p w:rsidR="00405F55" w:rsidRDefault="00000000">
      <w:pPr>
        <w:pStyle w:val="32"/>
        <w:ind w:firstLineChars="200" w:firstLine="480"/>
        <w:rPr>
          <w:sz w:val="24"/>
          <w:szCs w:val="24"/>
          <w:lang w:val="en-US"/>
        </w:rPr>
      </w:pPr>
      <w:r>
        <w:rPr>
          <w:sz w:val="24"/>
          <w:szCs w:val="24"/>
          <w:lang w:val="en-US"/>
        </w:rPr>
        <w:t>NY/T 1634—2008</w:t>
      </w:r>
      <w:r>
        <w:rPr>
          <w:rFonts w:hint="eastAsia"/>
          <w:sz w:val="24"/>
          <w:szCs w:val="24"/>
          <w:lang w:val="en-US"/>
        </w:rPr>
        <w:t xml:space="preserve">      《耕地地力调查与质量评价技术规程》</w:t>
      </w:r>
    </w:p>
    <w:p w:rsidR="00405F55" w:rsidRDefault="00000000">
      <w:pPr>
        <w:pStyle w:val="32"/>
        <w:ind w:firstLineChars="200" w:firstLine="480"/>
        <w:rPr>
          <w:sz w:val="24"/>
          <w:szCs w:val="24"/>
        </w:rPr>
      </w:pPr>
      <w:r>
        <w:rPr>
          <w:sz w:val="24"/>
          <w:szCs w:val="24"/>
        </w:rPr>
        <w:t>«全国第二次土壤普查暂行技术规程</w:t>
      </w:r>
      <w:proofErr w:type="gramStart"/>
      <w:r>
        <w:rPr>
          <w:sz w:val="24"/>
          <w:szCs w:val="24"/>
        </w:rPr>
        <w:t>》</w:t>
      </w:r>
      <w:proofErr w:type="gramEnd"/>
      <w:r>
        <w:rPr>
          <w:sz w:val="24"/>
          <w:szCs w:val="24"/>
        </w:rPr>
        <w:t xml:space="preserve"> （1979年）</w:t>
      </w:r>
    </w:p>
    <w:p w:rsidR="00405F55" w:rsidRDefault="00000000">
      <w:pPr>
        <w:pStyle w:val="32"/>
        <w:ind w:firstLineChars="200" w:firstLine="480"/>
        <w:rPr>
          <w:sz w:val="24"/>
          <w:szCs w:val="24"/>
        </w:rPr>
      </w:pPr>
      <w:r>
        <w:rPr>
          <w:sz w:val="24"/>
          <w:szCs w:val="24"/>
        </w:rPr>
        <w:t>«第三次全国土壤普查工作方案</w:t>
      </w:r>
      <w:proofErr w:type="gramStart"/>
      <w:r>
        <w:rPr>
          <w:sz w:val="24"/>
          <w:szCs w:val="24"/>
        </w:rPr>
        <w:t>》</w:t>
      </w:r>
      <w:proofErr w:type="gramEnd"/>
      <w:r>
        <w:rPr>
          <w:sz w:val="24"/>
          <w:szCs w:val="24"/>
        </w:rPr>
        <w:t xml:space="preserve"> （农建发 </w:t>
      </w:r>
      <w:r>
        <w:rPr>
          <w:rFonts w:hint="eastAsia"/>
          <w:sz w:val="24"/>
          <w:szCs w:val="24"/>
          <w:lang w:val="en-US"/>
        </w:rPr>
        <w:t>[</w:t>
      </w:r>
      <w:r>
        <w:rPr>
          <w:sz w:val="24"/>
          <w:szCs w:val="24"/>
        </w:rPr>
        <w:t>2022 1号）</w:t>
      </w:r>
    </w:p>
    <w:p w:rsidR="00405F55" w:rsidRDefault="00000000">
      <w:pPr>
        <w:pStyle w:val="1"/>
        <w:spacing w:before="0" w:after="0" w:line="360" w:lineRule="auto"/>
        <w:rPr>
          <w:rFonts w:ascii="微软雅黑" w:eastAsia="微软雅黑" w:hAnsi="微软雅黑" w:cs="微软雅黑"/>
          <w:sz w:val="32"/>
          <w:szCs w:val="32"/>
          <w:lang w:eastAsia="zh-CN"/>
        </w:rPr>
      </w:pPr>
      <w:bookmarkStart w:id="9" w:name="_Toc20195"/>
      <w:r>
        <w:rPr>
          <w:rFonts w:ascii="微软雅黑" w:eastAsia="微软雅黑" w:hAnsi="微软雅黑" w:cs="微软雅黑" w:hint="eastAsia"/>
          <w:sz w:val="32"/>
          <w:szCs w:val="32"/>
          <w:lang w:eastAsia="zh-CN"/>
        </w:rPr>
        <w:t>3 土壤三普的目标</w:t>
      </w:r>
      <w:bookmarkEnd w:id="9"/>
    </w:p>
    <w:p w:rsidR="00405F55" w:rsidRDefault="00000000">
      <w:pPr>
        <w:pStyle w:val="2"/>
        <w:spacing w:before="0" w:after="0" w:line="360" w:lineRule="auto"/>
        <w:rPr>
          <w:rFonts w:ascii="宋体" w:eastAsia="宋体" w:hAnsi="宋体" w:cs="宋体"/>
          <w:sz w:val="30"/>
          <w:szCs w:val="30"/>
          <w:lang w:eastAsia="zh-CN"/>
        </w:rPr>
      </w:pPr>
      <w:bookmarkStart w:id="10" w:name="_Toc6911"/>
      <w:r>
        <w:rPr>
          <w:rFonts w:ascii="宋体" w:eastAsia="宋体" w:hAnsi="宋体" w:cs="宋体" w:hint="eastAsia"/>
          <w:sz w:val="30"/>
          <w:szCs w:val="30"/>
          <w:lang w:eastAsia="zh-CN"/>
        </w:rPr>
        <w:t>3.1普查目的与意义</w:t>
      </w:r>
      <w:bookmarkEnd w:id="10"/>
    </w:p>
    <w:p w:rsidR="00405F55" w:rsidRDefault="00000000">
      <w:pPr>
        <w:pStyle w:val="12"/>
        <w:spacing w:line="319" w:lineRule="exact"/>
        <w:ind w:firstLine="440"/>
        <w:rPr>
          <w:color w:val="231F20"/>
          <w:sz w:val="24"/>
          <w:szCs w:val="24"/>
        </w:rPr>
      </w:pPr>
      <w:r>
        <w:rPr>
          <w:color w:val="231F20"/>
          <w:sz w:val="24"/>
          <w:szCs w:val="24"/>
        </w:rPr>
        <w:t>土壤普查是查明土壤类型及分布规律，查清土壤资源数量和质量等的重要方法，普查结果可为土壤的科学分类、规划利用、改良培肥、保护管理等提供科学支撑，也可为经济社会与生态建设等重大政策的制定提供决策依据。</w:t>
      </w:r>
    </w:p>
    <w:p w:rsidR="00405F55" w:rsidRDefault="00000000">
      <w:pPr>
        <w:pStyle w:val="3"/>
        <w:numPr>
          <w:ilvl w:val="2"/>
          <w:numId w:val="1"/>
        </w:numPr>
        <w:spacing w:before="0" w:after="0" w:line="360" w:lineRule="auto"/>
        <w:rPr>
          <w:rFonts w:ascii="宋体" w:eastAsia="宋体" w:hAnsi="宋体" w:cs="宋体"/>
          <w:sz w:val="24"/>
          <w:lang w:eastAsia="zh-CN"/>
        </w:rPr>
      </w:pPr>
      <w:bookmarkStart w:id="11" w:name="bookmark12"/>
      <w:bookmarkStart w:id="12" w:name="_Toc13478"/>
      <w:r>
        <w:rPr>
          <w:rFonts w:ascii="宋体" w:eastAsia="宋体" w:hAnsi="宋体" w:cs="宋体" w:hint="eastAsia"/>
          <w:sz w:val="24"/>
          <w:lang w:eastAsia="zh-CN"/>
        </w:rPr>
        <w:t>是守住耕地红线，确保国家粮食安全的重要基础</w:t>
      </w:r>
      <w:bookmarkEnd w:id="11"/>
      <w:bookmarkEnd w:id="12"/>
    </w:p>
    <w:p w:rsidR="00405F55" w:rsidRDefault="00000000">
      <w:pPr>
        <w:pStyle w:val="12"/>
        <w:spacing w:line="319" w:lineRule="exact"/>
        <w:ind w:firstLine="440"/>
        <w:rPr>
          <w:color w:val="231F20"/>
          <w:sz w:val="24"/>
          <w:szCs w:val="24"/>
        </w:rPr>
      </w:pPr>
      <w:r>
        <w:rPr>
          <w:color w:val="231F20"/>
          <w:sz w:val="24"/>
          <w:szCs w:val="24"/>
        </w:rPr>
        <w:t>随着经济社会发展，耕地占用刚性增加，要进一步落实耕地保护责任，严守耕地红线，确保国家粮食安全，需摸清耕地数量状况和质量底数。全国第二次土壤普查（以下简称“二普”）距今已40年，相关数据不能全面反映当前耕地质量实况，要落实“藏粮于地、藏粮于技”战略，守住耕地质量红线，需要摸清耕地土壤质量状况。在第三次全国国土调查（以下简称“国土三调”）已查清耕地数量的基础上，迫切需要开展土壤三普工作，实施土壤的“全面体检”。</w:t>
      </w:r>
    </w:p>
    <w:p w:rsidR="00405F55" w:rsidRDefault="00000000">
      <w:pPr>
        <w:pStyle w:val="3"/>
        <w:numPr>
          <w:ilvl w:val="2"/>
          <w:numId w:val="1"/>
        </w:numPr>
        <w:spacing w:before="0" w:after="0" w:line="360" w:lineRule="auto"/>
        <w:rPr>
          <w:rFonts w:ascii="宋体" w:eastAsia="宋体" w:hAnsi="宋体" w:cs="宋体"/>
          <w:sz w:val="24"/>
          <w:lang w:eastAsia="zh-CN"/>
        </w:rPr>
      </w:pPr>
      <w:bookmarkStart w:id="13" w:name="bookmark14"/>
      <w:bookmarkStart w:id="14" w:name="_Toc8621"/>
      <w:r>
        <w:rPr>
          <w:rFonts w:ascii="宋体" w:eastAsia="宋体" w:hAnsi="宋体" w:cs="宋体" w:hint="eastAsia"/>
          <w:sz w:val="24"/>
          <w:lang w:eastAsia="zh-CN"/>
        </w:rPr>
        <w:t>是落实高质量发展要求，加快农业农村现代化的重要支撑</w:t>
      </w:r>
      <w:bookmarkEnd w:id="13"/>
      <w:bookmarkEnd w:id="14"/>
    </w:p>
    <w:p w:rsidR="00405F55" w:rsidRDefault="00000000">
      <w:pPr>
        <w:pStyle w:val="12"/>
        <w:spacing w:line="319" w:lineRule="exact"/>
        <w:ind w:firstLine="440"/>
        <w:rPr>
          <w:color w:val="231F20"/>
          <w:sz w:val="24"/>
          <w:szCs w:val="24"/>
        </w:rPr>
      </w:pPr>
      <w:r>
        <w:rPr>
          <w:color w:val="231F20"/>
          <w:sz w:val="24"/>
          <w:szCs w:val="24"/>
        </w:rPr>
        <w:t>完整准确全面贯彻新发展理念，推进农业发展绿色转型和高质量发展，节约水土资源，促进农产品量丰质优，都离不开土壤肥力或土壤健康指标数据作支撑。推动品种培优、品质提升、品牌打造和标准化生产，提高农产品质量和竞争力，指导农户和新型经营主体因土种植、因土施肥、因土改良，都需要翔实的土壤属性数据作支撑。发展现代</w:t>
      </w:r>
      <w:r>
        <w:rPr>
          <w:color w:val="231F20"/>
          <w:sz w:val="24"/>
          <w:szCs w:val="24"/>
        </w:rPr>
        <w:lastRenderedPageBreak/>
        <w:t>农业，促进农业生产经营管理信息化、精准化，需要土壤大数据作支撑。</w:t>
      </w:r>
      <w:bookmarkStart w:id="15" w:name="bookmark16"/>
    </w:p>
    <w:p w:rsidR="00405F55" w:rsidRDefault="00000000">
      <w:pPr>
        <w:pStyle w:val="3"/>
        <w:numPr>
          <w:ilvl w:val="2"/>
          <w:numId w:val="1"/>
        </w:numPr>
        <w:spacing w:before="0" w:after="0" w:line="360" w:lineRule="auto"/>
        <w:rPr>
          <w:rFonts w:ascii="宋体" w:eastAsia="宋体" w:hAnsi="宋体" w:cs="宋体"/>
          <w:sz w:val="24"/>
          <w:lang w:eastAsia="zh-CN"/>
        </w:rPr>
      </w:pPr>
      <w:bookmarkStart w:id="16" w:name="_Toc20694"/>
      <w:r>
        <w:rPr>
          <w:rFonts w:ascii="宋体" w:eastAsia="宋体" w:hAnsi="宋体" w:cs="宋体" w:hint="eastAsia"/>
          <w:sz w:val="24"/>
          <w:lang w:eastAsia="zh-CN"/>
        </w:rPr>
        <w:t>是保护环境，促进生态文明建设的重要举措</w:t>
      </w:r>
      <w:bookmarkEnd w:id="15"/>
      <w:bookmarkEnd w:id="16"/>
    </w:p>
    <w:p w:rsidR="00405F55" w:rsidRDefault="00000000">
      <w:pPr>
        <w:pStyle w:val="12"/>
        <w:spacing w:line="323" w:lineRule="exact"/>
        <w:ind w:firstLine="440"/>
        <w:rPr>
          <w:sz w:val="24"/>
          <w:szCs w:val="24"/>
        </w:rPr>
      </w:pPr>
      <w:r>
        <w:rPr>
          <w:sz w:val="24"/>
          <w:szCs w:val="24"/>
        </w:rPr>
        <w:t>随着城镇化、工业化的快速推进，大量废弃物直接或间接影响农用地土壤质量；农田土壤酸化面积扩大、强度增加，土壤中重金属活性增强，土壤污染趋势加重，农产品质</w:t>
      </w:r>
      <w:proofErr w:type="gramStart"/>
      <w:r>
        <w:rPr>
          <w:sz w:val="24"/>
          <w:szCs w:val="24"/>
        </w:rPr>
        <w:t>量安全</w:t>
      </w:r>
      <w:proofErr w:type="gramEnd"/>
      <w:r>
        <w:rPr>
          <w:sz w:val="24"/>
          <w:szCs w:val="24"/>
        </w:rPr>
        <w:t>受威胁。土壤生物多样性下降、土传病害加剧，制约土壤各项功能发挥，导致土壤健康下降。为全面掌握全国耕地、园地、林地、草地等土壤性状及其土壤适宜性，协调发挥土壤的生产、环保、生态等功能，促进“碳中和”，需开展全国土壤普查。</w:t>
      </w:r>
    </w:p>
    <w:p w:rsidR="00405F55" w:rsidRDefault="00000000">
      <w:pPr>
        <w:pStyle w:val="3"/>
        <w:numPr>
          <w:ilvl w:val="2"/>
          <w:numId w:val="1"/>
        </w:numPr>
        <w:spacing w:before="0" w:after="0" w:line="360" w:lineRule="auto"/>
        <w:rPr>
          <w:rFonts w:ascii="宋体" w:eastAsia="宋体" w:hAnsi="宋体" w:cs="宋体"/>
          <w:sz w:val="24"/>
          <w:lang w:eastAsia="zh-CN"/>
        </w:rPr>
      </w:pPr>
      <w:bookmarkStart w:id="17" w:name="bookmark18"/>
      <w:bookmarkStart w:id="18" w:name="_Toc13327"/>
      <w:r>
        <w:rPr>
          <w:rFonts w:ascii="宋体" w:eastAsia="宋体" w:hAnsi="宋体" w:cs="宋体" w:hint="eastAsia"/>
          <w:sz w:val="24"/>
          <w:lang w:eastAsia="zh-CN"/>
        </w:rPr>
        <w:t>是优化农业生产布局，助力乡村产业振兴的有效途径</w:t>
      </w:r>
      <w:bookmarkEnd w:id="17"/>
      <w:bookmarkEnd w:id="18"/>
    </w:p>
    <w:p w:rsidR="00405F55" w:rsidRDefault="00000000">
      <w:pPr>
        <w:pStyle w:val="12"/>
        <w:spacing w:line="319" w:lineRule="exact"/>
        <w:ind w:firstLine="440"/>
        <w:rPr>
          <w:color w:val="231F20"/>
          <w:sz w:val="24"/>
          <w:szCs w:val="24"/>
        </w:rPr>
      </w:pPr>
      <w:r>
        <w:rPr>
          <w:color w:val="231F20"/>
          <w:sz w:val="24"/>
          <w:szCs w:val="24"/>
        </w:rPr>
        <w:t>人多地少是我国的基本国情，需要合理利用土壤资源，发挥区域比较优势，优化农业生产布局，提高水土光热等资源利用率。推进“十四五”规划纲要提出的优化农林牧业生产布局落实落地，因土适种、科学轮作、农牧结合，因地制宜多业发展，实现既保粮食和重要农产品有效供给、又</w:t>
      </w:r>
      <w:proofErr w:type="gramStart"/>
      <w:r>
        <w:rPr>
          <w:color w:val="231F20"/>
          <w:sz w:val="24"/>
          <w:szCs w:val="24"/>
        </w:rPr>
        <w:t>保食物</w:t>
      </w:r>
      <w:proofErr w:type="gramEnd"/>
      <w:r>
        <w:rPr>
          <w:color w:val="231F20"/>
          <w:sz w:val="24"/>
          <w:szCs w:val="24"/>
        </w:rPr>
        <w:t>多样，促进乡村产业兴旺和农民增收致富，需要土壤普查基础数据作支撑。</w:t>
      </w:r>
    </w:p>
    <w:p w:rsidR="00405F55" w:rsidRDefault="00000000">
      <w:pPr>
        <w:pStyle w:val="2"/>
        <w:spacing w:before="0" w:after="0" w:line="360" w:lineRule="auto"/>
        <w:rPr>
          <w:rFonts w:ascii="宋体" w:eastAsia="宋体" w:hAnsi="宋体" w:cs="宋体"/>
          <w:sz w:val="30"/>
          <w:szCs w:val="30"/>
          <w:lang w:eastAsia="zh-CN"/>
        </w:rPr>
      </w:pPr>
      <w:bookmarkStart w:id="19" w:name="_Toc32243"/>
      <w:r>
        <w:rPr>
          <w:rFonts w:ascii="宋体" w:eastAsia="宋体" w:hAnsi="宋体" w:cs="宋体" w:hint="eastAsia"/>
          <w:sz w:val="30"/>
          <w:szCs w:val="30"/>
          <w:lang w:eastAsia="zh-CN"/>
        </w:rPr>
        <w:t>3.2普查思路与目标</w:t>
      </w:r>
      <w:bookmarkEnd w:id="19"/>
    </w:p>
    <w:p w:rsidR="00405F55" w:rsidRDefault="00000000">
      <w:pPr>
        <w:pStyle w:val="12"/>
        <w:spacing w:line="319" w:lineRule="exact"/>
        <w:ind w:firstLine="440"/>
        <w:rPr>
          <w:color w:val="231F20"/>
          <w:sz w:val="24"/>
          <w:szCs w:val="24"/>
        </w:rPr>
      </w:pPr>
      <w:r>
        <w:rPr>
          <w:color w:val="231F20"/>
          <w:sz w:val="24"/>
          <w:szCs w:val="24"/>
        </w:rPr>
        <w:t>开展土壤三普是贯彻落实中共中央领导指示批示精神，全面摸清我国土壤质量家底，服务国家粮食安全、生态安全，促进农业农村现代化和生态文明建设的重要途径。遵循普查的全面性、科学性原则，以土壤学理论和现代科学技术及手段为支撑，衔接已有成果，借鉴以往经验做法，强化统一工作平台、统一技术规程、统一工作底图、统一规划布设采样点位、统一筛选测试分析专业机构、统一过程质控的“六统一”技术路线，坚持摸清土壤质量与完善土壤类型、土壤性状普查与土壤利用调查、外业调查观测与内业测试化验、土壤表层样与剖面样采集、摸清土壤障碍因素与提出改良培肥措施、政府保障与专业支撑等“六结合”工作方法，按照“统一领导、部门协作、分级负责、各方参与”组织实施，通过4年左右的时间，实现对耕地、园地、林地、草地与部分未利用地土壤的“全面体检”。</w:t>
      </w:r>
    </w:p>
    <w:p w:rsidR="00405F55" w:rsidRDefault="00000000">
      <w:pPr>
        <w:pStyle w:val="1"/>
        <w:spacing w:before="0" w:after="0" w:line="360" w:lineRule="auto"/>
        <w:rPr>
          <w:rFonts w:ascii="微软雅黑" w:eastAsia="微软雅黑" w:hAnsi="微软雅黑" w:cs="微软雅黑"/>
          <w:sz w:val="32"/>
          <w:szCs w:val="32"/>
          <w:lang w:eastAsia="zh-CN"/>
        </w:rPr>
      </w:pPr>
      <w:bookmarkStart w:id="20" w:name="_Toc13452"/>
      <w:r>
        <w:rPr>
          <w:rFonts w:ascii="微软雅黑" w:eastAsia="微软雅黑" w:hAnsi="微软雅黑" w:cs="微软雅黑" w:hint="eastAsia"/>
          <w:sz w:val="32"/>
          <w:szCs w:val="32"/>
          <w:lang w:eastAsia="zh-CN"/>
        </w:rPr>
        <w:t>4 土壤三普的范围与任务</w:t>
      </w:r>
      <w:bookmarkEnd w:id="20"/>
    </w:p>
    <w:p w:rsidR="00405F55" w:rsidRDefault="00000000">
      <w:pPr>
        <w:pStyle w:val="2"/>
        <w:spacing w:before="0" w:after="0" w:line="360" w:lineRule="auto"/>
        <w:rPr>
          <w:rFonts w:ascii="宋体" w:eastAsia="宋体" w:hAnsi="宋体" w:cs="宋体"/>
          <w:sz w:val="30"/>
          <w:szCs w:val="30"/>
          <w:lang w:eastAsia="zh-CN"/>
        </w:rPr>
      </w:pPr>
      <w:bookmarkStart w:id="21" w:name="_Toc18215"/>
      <w:r>
        <w:rPr>
          <w:rFonts w:ascii="宋体" w:eastAsia="宋体" w:hAnsi="宋体" w:cs="宋体" w:hint="eastAsia"/>
          <w:sz w:val="30"/>
          <w:szCs w:val="30"/>
          <w:lang w:eastAsia="zh-CN"/>
        </w:rPr>
        <w:t>4.1 普查范围</w:t>
      </w:r>
      <w:bookmarkEnd w:id="21"/>
    </w:p>
    <w:p w:rsidR="00405F55" w:rsidRDefault="00000000">
      <w:pPr>
        <w:pStyle w:val="12"/>
        <w:spacing w:line="319" w:lineRule="exact"/>
        <w:ind w:firstLine="440"/>
        <w:rPr>
          <w:color w:val="231F20"/>
          <w:sz w:val="24"/>
          <w:szCs w:val="24"/>
        </w:rPr>
      </w:pPr>
      <w:r>
        <w:rPr>
          <w:color w:val="231F20"/>
          <w:sz w:val="24"/>
          <w:szCs w:val="24"/>
        </w:rPr>
        <w:t>覆盖全国耕地、园地、林地、草地等农用地和部分未利用地。林地、草地中突出与食物生产相关的土地，未利用地重点调查与可开垦耕地资源潜力相关的土地，如盐碱地等。</w:t>
      </w:r>
    </w:p>
    <w:p w:rsidR="00405F55" w:rsidRDefault="00000000">
      <w:pPr>
        <w:pStyle w:val="2"/>
        <w:spacing w:before="0" w:after="0" w:line="360" w:lineRule="auto"/>
        <w:rPr>
          <w:rFonts w:ascii="宋体" w:eastAsia="宋体" w:hAnsi="宋体" w:cs="宋体"/>
          <w:sz w:val="30"/>
          <w:szCs w:val="30"/>
          <w:lang w:eastAsia="zh-CN"/>
        </w:rPr>
      </w:pPr>
      <w:bookmarkStart w:id="22" w:name="_Toc21138"/>
      <w:r>
        <w:rPr>
          <w:rFonts w:ascii="宋体" w:eastAsia="宋体" w:hAnsi="宋体" w:cs="宋体" w:hint="eastAsia"/>
          <w:sz w:val="30"/>
          <w:szCs w:val="30"/>
          <w:lang w:eastAsia="zh-CN"/>
        </w:rPr>
        <w:t>4.2普查内容</w:t>
      </w:r>
      <w:bookmarkEnd w:id="22"/>
    </w:p>
    <w:p w:rsidR="00405F55" w:rsidRDefault="00000000">
      <w:pPr>
        <w:pStyle w:val="12"/>
        <w:spacing w:line="319" w:lineRule="exact"/>
        <w:ind w:firstLine="440"/>
        <w:rPr>
          <w:color w:val="231F20"/>
          <w:sz w:val="24"/>
          <w:szCs w:val="24"/>
        </w:rPr>
      </w:pPr>
      <w:r>
        <w:rPr>
          <w:color w:val="231F20"/>
          <w:sz w:val="24"/>
          <w:szCs w:val="24"/>
        </w:rPr>
        <w:t>以校核与形成土壤分类系统和绘制土壤图为基础，以土壤理化和生物性状普查为重点，更新和完善全国土壤基础数据，构建土壤数据库和样品库，开展数据整理审核、分析和成果汇总。查清不同生态条件、不同利用类型土壤质量及其障碍退化状况，查清特色农产品产地土壤特征、后备耕地资源土壤质量、典型区域土壤环境和生物多样性等，全面查清农用地土壤质量家底。</w:t>
      </w:r>
    </w:p>
    <w:p w:rsidR="00405F55" w:rsidRDefault="00000000">
      <w:pPr>
        <w:pStyle w:val="3"/>
        <w:spacing w:before="0" w:after="0" w:line="360" w:lineRule="auto"/>
        <w:rPr>
          <w:rFonts w:ascii="宋体" w:eastAsia="宋体" w:hAnsi="宋体" w:cs="宋体"/>
          <w:sz w:val="24"/>
          <w:lang w:eastAsia="zh-CN"/>
        </w:rPr>
      </w:pPr>
      <w:bookmarkStart w:id="23" w:name="bookmark22"/>
      <w:bookmarkStart w:id="24" w:name="_Toc29519"/>
      <w:r>
        <w:rPr>
          <w:rFonts w:ascii="宋体" w:eastAsia="宋体" w:hAnsi="宋体" w:cs="宋体" w:hint="eastAsia"/>
          <w:sz w:val="24"/>
          <w:lang w:eastAsia="zh-CN"/>
        </w:rPr>
        <w:t>4.2.1 土壤类型校核完善</w:t>
      </w:r>
      <w:bookmarkEnd w:id="23"/>
      <w:bookmarkEnd w:id="24"/>
    </w:p>
    <w:p w:rsidR="00405F55" w:rsidRDefault="00000000">
      <w:pPr>
        <w:pStyle w:val="12"/>
        <w:spacing w:line="319" w:lineRule="exact"/>
        <w:ind w:firstLine="440"/>
        <w:rPr>
          <w:color w:val="231F20"/>
          <w:sz w:val="24"/>
          <w:szCs w:val="24"/>
        </w:rPr>
      </w:pPr>
      <w:r>
        <w:rPr>
          <w:color w:val="231F20"/>
          <w:sz w:val="24"/>
          <w:szCs w:val="24"/>
        </w:rPr>
        <w:t>以</w:t>
      </w:r>
      <w:proofErr w:type="gramStart"/>
      <w:r>
        <w:rPr>
          <w:color w:val="231F20"/>
          <w:sz w:val="24"/>
          <w:szCs w:val="24"/>
        </w:rPr>
        <w:t>二普形成</w:t>
      </w:r>
      <w:proofErr w:type="gramEnd"/>
      <w:r>
        <w:rPr>
          <w:color w:val="231F20"/>
          <w:sz w:val="24"/>
          <w:szCs w:val="24"/>
        </w:rPr>
        <w:t>的分类成果为基础，通过实地踏勘、剖面观察等方式核实与补充土壤类型，完善中国土壤发生分类系统，并逐步推进使用中国土壤系统分类。</w:t>
      </w:r>
      <w:bookmarkStart w:id="25" w:name="bookmark24"/>
    </w:p>
    <w:p w:rsidR="00405F55" w:rsidRDefault="00000000">
      <w:pPr>
        <w:pStyle w:val="12"/>
        <w:spacing w:line="319" w:lineRule="exact"/>
        <w:ind w:firstLine="440"/>
        <w:rPr>
          <w:b/>
          <w:sz w:val="24"/>
          <w:szCs w:val="24"/>
          <w:lang w:val="en-US"/>
        </w:rPr>
      </w:pPr>
      <w:r>
        <w:rPr>
          <w:rFonts w:hint="eastAsia"/>
          <w:b/>
          <w:sz w:val="24"/>
          <w:szCs w:val="24"/>
          <w:lang w:val="en-US"/>
        </w:rPr>
        <w:lastRenderedPageBreak/>
        <w:t>4.2.2 土壤剖面性状调查</w:t>
      </w:r>
      <w:bookmarkEnd w:id="25"/>
    </w:p>
    <w:p w:rsidR="00405F55" w:rsidRDefault="00000000">
      <w:pPr>
        <w:pStyle w:val="12"/>
        <w:spacing w:line="319" w:lineRule="exact"/>
        <w:ind w:firstLine="440"/>
        <w:rPr>
          <w:color w:val="231F20"/>
          <w:sz w:val="24"/>
          <w:szCs w:val="24"/>
        </w:rPr>
      </w:pPr>
      <w:r>
        <w:rPr>
          <w:color w:val="231F20"/>
          <w:sz w:val="24"/>
          <w:szCs w:val="24"/>
        </w:rPr>
        <w:t>通过主要土壤类型的剖面挖掘观测、剖面样本制作、土壤样品采集和测试分析，普查土壤剖面发生层及其厚度、边界、颜色、质地、孔隙、</w:t>
      </w:r>
      <w:proofErr w:type="gramStart"/>
      <w:r>
        <w:rPr>
          <w:color w:val="231F20"/>
          <w:sz w:val="24"/>
          <w:szCs w:val="24"/>
        </w:rPr>
        <w:t>结持性</w:t>
      </w:r>
      <w:proofErr w:type="gramEnd"/>
      <w:r>
        <w:rPr>
          <w:color w:val="231F20"/>
          <w:sz w:val="24"/>
          <w:szCs w:val="24"/>
        </w:rPr>
        <w:t>、新生体、植物根系和动物活动等。对于典型障碍土壤剖面，重点普查</w:t>
      </w:r>
      <w:r>
        <w:rPr>
          <w:color w:val="231F20"/>
          <w:sz w:val="24"/>
          <w:szCs w:val="24"/>
          <w:lang w:val="en-US"/>
        </w:rPr>
        <w:t>1m</w:t>
      </w:r>
      <w:r>
        <w:rPr>
          <w:color w:val="231F20"/>
          <w:sz w:val="24"/>
          <w:szCs w:val="24"/>
        </w:rPr>
        <w:t>土壤剖面内沙性、砾石、黏磐、盐磐、铁磐、砂姜层、白浆层、潜育层、钙积层等障碍类型、分布层次等。</w:t>
      </w:r>
    </w:p>
    <w:p w:rsidR="00405F55" w:rsidRDefault="00405F55">
      <w:pPr>
        <w:pStyle w:val="12"/>
        <w:spacing w:line="319" w:lineRule="exact"/>
        <w:ind w:firstLine="440"/>
        <w:rPr>
          <w:color w:val="231F20"/>
          <w:sz w:val="24"/>
          <w:szCs w:val="24"/>
        </w:rPr>
      </w:pPr>
    </w:p>
    <w:p w:rsidR="00405F55" w:rsidRDefault="00000000">
      <w:pPr>
        <w:pStyle w:val="3"/>
        <w:spacing w:before="0" w:after="0" w:line="360" w:lineRule="auto"/>
        <w:rPr>
          <w:rFonts w:ascii="宋体" w:eastAsia="宋体" w:hAnsi="宋体" w:cs="宋体"/>
          <w:sz w:val="24"/>
          <w:lang w:eastAsia="zh-CN"/>
        </w:rPr>
      </w:pPr>
      <w:bookmarkStart w:id="26" w:name="bookmark26"/>
      <w:bookmarkStart w:id="27" w:name="_Toc25102"/>
      <w:r>
        <w:rPr>
          <w:rFonts w:ascii="宋体" w:eastAsia="宋体" w:hAnsi="宋体" w:cs="宋体" w:hint="eastAsia"/>
          <w:sz w:val="24"/>
          <w:lang w:eastAsia="zh-CN"/>
        </w:rPr>
        <w:t>4.2.3 土壤理化和生物性状分析</w:t>
      </w:r>
      <w:bookmarkEnd w:id="26"/>
      <w:bookmarkEnd w:id="27"/>
    </w:p>
    <w:p w:rsidR="00405F55" w:rsidRDefault="00000000">
      <w:pPr>
        <w:pStyle w:val="12"/>
        <w:spacing w:line="319" w:lineRule="exact"/>
        <w:ind w:firstLine="440"/>
        <w:rPr>
          <w:color w:val="231F20"/>
          <w:sz w:val="24"/>
          <w:szCs w:val="24"/>
        </w:rPr>
      </w:pPr>
      <w:r>
        <w:rPr>
          <w:color w:val="231F20"/>
          <w:sz w:val="24"/>
          <w:szCs w:val="24"/>
        </w:rPr>
        <w:t>通过土壤样品采集和测试，普查土壤机械组成、土壤容重、有机质、酸碱度、营养元素、重金属、典型区域土壤生物多样性等土壤物理、化学、生物指标。</w:t>
      </w:r>
    </w:p>
    <w:p w:rsidR="00405F55" w:rsidRDefault="00000000">
      <w:pPr>
        <w:pStyle w:val="3"/>
        <w:spacing w:before="0" w:after="0" w:line="360" w:lineRule="auto"/>
        <w:rPr>
          <w:rFonts w:ascii="宋体" w:eastAsia="宋体" w:hAnsi="宋体" w:cs="宋体"/>
          <w:sz w:val="24"/>
          <w:lang w:eastAsia="zh-CN"/>
        </w:rPr>
      </w:pPr>
      <w:bookmarkStart w:id="28" w:name="bookmark28"/>
      <w:bookmarkStart w:id="29" w:name="_Toc5405"/>
      <w:r>
        <w:rPr>
          <w:rFonts w:ascii="宋体" w:eastAsia="宋体" w:hAnsi="宋体" w:cs="宋体" w:hint="eastAsia"/>
          <w:sz w:val="24"/>
          <w:lang w:eastAsia="zh-CN"/>
        </w:rPr>
        <w:t>4.2.4 土壤利用情况调查</w:t>
      </w:r>
      <w:bookmarkEnd w:id="28"/>
      <w:bookmarkEnd w:id="29"/>
    </w:p>
    <w:p w:rsidR="00405F55" w:rsidRDefault="00000000">
      <w:pPr>
        <w:pStyle w:val="12"/>
        <w:spacing w:line="319" w:lineRule="exact"/>
        <w:ind w:firstLine="440"/>
        <w:rPr>
          <w:color w:val="231F20"/>
          <w:sz w:val="24"/>
          <w:szCs w:val="24"/>
        </w:rPr>
      </w:pPr>
      <w:r>
        <w:rPr>
          <w:color w:val="231F20"/>
          <w:sz w:val="24"/>
          <w:szCs w:val="24"/>
        </w:rPr>
        <w:t>结合样点采样，重点调查成土条件、植被类型、植物（作物）产量，以及耕地园地的基础设施条件、种植制度、耕作方式、排灌设施情况等基础信息，肥料、农药、农膜等投入品使用情况，农业经营者开展土壤培肥改良、农作物秸秆还田等做法和经验。</w:t>
      </w:r>
    </w:p>
    <w:p w:rsidR="00405F55" w:rsidRDefault="00000000">
      <w:pPr>
        <w:pStyle w:val="3"/>
        <w:spacing w:before="0" w:after="0" w:line="360" w:lineRule="auto"/>
        <w:rPr>
          <w:rFonts w:ascii="宋体" w:eastAsia="宋体" w:hAnsi="宋体" w:cs="宋体"/>
          <w:sz w:val="24"/>
          <w:lang w:eastAsia="zh-CN"/>
        </w:rPr>
      </w:pPr>
      <w:bookmarkStart w:id="30" w:name="bookmark30"/>
      <w:bookmarkStart w:id="31" w:name="_Toc26492"/>
      <w:r>
        <w:rPr>
          <w:rFonts w:ascii="宋体" w:eastAsia="宋体" w:hAnsi="宋体" w:cs="宋体" w:hint="eastAsia"/>
          <w:sz w:val="24"/>
          <w:lang w:eastAsia="zh-CN"/>
        </w:rPr>
        <w:t>4.2.5 土壤利用适宜性评价和土壤质量状况评价</w:t>
      </w:r>
      <w:bookmarkEnd w:id="30"/>
      <w:bookmarkEnd w:id="31"/>
    </w:p>
    <w:p w:rsidR="00405F55" w:rsidRDefault="00000000">
      <w:pPr>
        <w:pStyle w:val="12"/>
        <w:spacing w:line="319" w:lineRule="exact"/>
        <w:ind w:firstLine="440"/>
        <w:rPr>
          <w:color w:val="231F20"/>
          <w:sz w:val="24"/>
          <w:szCs w:val="24"/>
        </w:rPr>
      </w:pPr>
      <w:r>
        <w:rPr>
          <w:color w:val="231F20"/>
          <w:sz w:val="24"/>
          <w:szCs w:val="24"/>
        </w:rPr>
        <w:t>利用普查取得的土壤理化和生物性状、剖面性状和利用情况等基础数据，开展土壤利用适宜性评价和土壤质量分析，摸清土壤资源质量现状。</w:t>
      </w:r>
    </w:p>
    <w:p w:rsidR="00405F55" w:rsidRDefault="00000000">
      <w:pPr>
        <w:pStyle w:val="3"/>
        <w:spacing w:before="0" w:after="0" w:line="360" w:lineRule="auto"/>
        <w:rPr>
          <w:rFonts w:ascii="宋体" w:eastAsia="宋体" w:hAnsi="宋体" w:cs="宋体"/>
          <w:sz w:val="24"/>
          <w:lang w:eastAsia="zh-CN"/>
        </w:rPr>
      </w:pPr>
      <w:bookmarkStart w:id="32" w:name="bookmark32"/>
      <w:bookmarkStart w:id="33" w:name="_Toc12647"/>
      <w:r>
        <w:rPr>
          <w:rFonts w:ascii="宋体" w:eastAsia="宋体" w:hAnsi="宋体" w:cs="宋体" w:hint="eastAsia"/>
          <w:sz w:val="24"/>
          <w:lang w:eastAsia="zh-CN"/>
        </w:rPr>
        <w:t>4.2.6 土壤数据库构建</w:t>
      </w:r>
      <w:bookmarkEnd w:id="32"/>
      <w:bookmarkEnd w:id="33"/>
    </w:p>
    <w:p w:rsidR="00405F55" w:rsidRDefault="00000000">
      <w:pPr>
        <w:pStyle w:val="12"/>
        <w:spacing w:line="319" w:lineRule="exact"/>
        <w:ind w:firstLine="440"/>
        <w:rPr>
          <w:color w:val="231F20"/>
          <w:sz w:val="24"/>
          <w:szCs w:val="24"/>
        </w:rPr>
      </w:pPr>
      <w:r>
        <w:rPr>
          <w:color w:val="231F20"/>
          <w:sz w:val="24"/>
          <w:szCs w:val="24"/>
        </w:rPr>
        <w:t>建立标准化、规范化的土壤数据库，包括空间数据库和属性数据库。空间数据库存储具有点线面经纬度和拓扑关系的土壤类型、采样点点位、剖面分布、养分分布评价、土壤利用适宜性评价、土壤质量、地形地貌、道路和水系等内容的数据库。属性数据库存储空间点线面性质（或属性）的土壤类型、土壤性状、土壤障碍及退化、土壤利用等指标的数据库。有条件的地方可以建立土壤数据管理中心，对数据成果进行汇总管理。</w:t>
      </w:r>
    </w:p>
    <w:p w:rsidR="00405F55" w:rsidRDefault="00000000">
      <w:pPr>
        <w:pStyle w:val="3"/>
        <w:spacing w:before="0" w:after="0" w:line="360" w:lineRule="auto"/>
        <w:rPr>
          <w:rFonts w:ascii="宋体" w:eastAsia="宋体" w:hAnsi="宋体" w:cs="宋体"/>
          <w:sz w:val="24"/>
          <w:lang w:eastAsia="zh-CN"/>
        </w:rPr>
      </w:pPr>
      <w:bookmarkStart w:id="34" w:name="bookmark34"/>
      <w:bookmarkStart w:id="35" w:name="_Toc17790"/>
      <w:r>
        <w:rPr>
          <w:rFonts w:ascii="宋体" w:eastAsia="宋体" w:hAnsi="宋体" w:cs="宋体" w:hint="eastAsia"/>
          <w:sz w:val="24"/>
          <w:lang w:eastAsia="zh-CN"/>
        </w:rPr>
        <w:t>4.2.7普查成果汇交与应用</w:t>
      </w:r>
      <w:bookmarkEnd w:id="34"/>
      <w:bookmarkEnd w:id="35"/>
    </w:p>
    <w:p w:rsidR="00405F55" w:rsidRDefault="00000000">
      <w:pPr>
        <w:pStyle w:val="12"/>
        <w:spacing w:line="319" w:lineRule="exact"/>
        <w:ind w:firstLine="440"/>
        <w:rPr>
          <w:color w:val="231F20"/>
          <w:sz w:val="24"/>
          <w:szCs w:val="24"/>
        </w:rPr>
      </w:pPr>
      <w:r>
        <w:rPr>
          <w:color w:val="231F20"/>
          <w:sz w:val="24"/>
          <w:szCs w:val="24"/>
        </w:rPr>
        <w:t>组织开展分级土壤普查成果汇总，包括图件成果、数据成果、文字成果和数据库成果。开展数据成果汇总分析，包括土壤质量状况、土壤改良与利用、土壤利用适宜性评价、农林牧业布局优化等。</w:t>
      </w:r>
      <w:r>
        <w:rPr>
          <w:color w:val="231F20"/>
          <w:sz w:val="24"/>
          <w:szCs w:val="24"/>
        </w:rPr>
        <w:br/>
        <w:t>开展40年来全国土壤变化趋势及原因分析，提出防止土壤退化的措施建议。开展土壤盐碱化、酸化</w:t>
      </w:r>
      <w:r>
        <w:rPr>
          <w:color w:val="231F20"/>
          <w:sz w:val="24"/>
          <w:szCs w:val="24"/>
        </w:rPr>
        <w:br/>
        <w:t>等专题评价，提出治理修复对策。</w:t>
      </w:r>
    </w:p>
    <w:p w:rsidR="00405F55" w:rsidRDefault="00000000">
      <w:pPr>
        <w:pStyle w:val="3"/>
        <w:spacing w:before="0" w:after="0" w:line="360" w:lineRule="auto"/>
        <w:rPr>
          <w:rFonts w:ascii="宋体" w:eastAsia="宋体" w:hAnsi="宋体" w:cs="宋体"/>
          <w:sz w:val="24"/>
          <w:lang w:eastAsia="zh-CN"/>
        </w:rPr>
      </w:pPr>
      <w:bookmarkStart w:id="36" w:name="bookmark36"/>
      <w:bookmarkStart w:id="37" w:name="_Toc21734"/>
      <w:r>
        <w:rPr>
          <w:rFonts w:ascii="宋体" w:eastAsia="宋体" w:hAnsi="宋体" w:cs="宋体" w:hint="eastAsia"/>
          <w:sz w:val="24"/>
          <w:lang w:eastAsia="zh-CN"/>
        </w:rPr>
        <w:t>4.2.8 土壤样品库构建</w:t>
      </w:r>
      <w:bookmarkEnd w:id="36"/>
      <w:bookmarkEnd w:id="37"/>
    </w:p>
    <w:p w:rsidR="00405F55" w:rsidRDefault="00000000">
      <w:pPr>
        <w:pStyle w:val="12"/>
        <w:spacing w:line="319" w:lineRule="exact"/>
        <w:ind w:firstLine="440"/>
        <w:rPr>
          <w:color w:val="231F20"/>
          <w:sz w:val="24"/>
          <w:szCs w:val="24"/>
        </w:rPr>
      </w:pPr>
      <w:r>
        <w:rPr>
          <w:color w:val="231F20"/>
          <w:sz w:val="24"/>
          <w:szCs w:val="24"/>
        </w:rPr>
        <w:t>依托科研和教学单位，构建国家级和省级土壤剖面标本、土壤样品储存展示库，保存主要土壤类型的土壤剖面标本和样品。有条件的市县可建立土壤样品储存库。</w:t>
      </w:r>
    </w:p>
    <w:p w:rsidR="00405F55" w:rsidRDefault="00000000">
      <w:pPr>
        <w:pStyle w:val="2"/>
        <w:spacing w:before="0" w:after="0" w:line="360" w:lineRule="auto"/>
        <w:rPr>
          <w:rFonts w:ascii="宋体" w:eastAsia="宋体" w:hAnsi="宋体" w:cs="宋体"/>
          <w:sz w:val="30"/>
          <w:szCs w:val="30"/>
          <w:lang w:eastAsia="zh-CN"/>
        </w:rPr>
      </w:pPr>
      <w:bookmarkStart w:id="38" w:name="_Toc8217"/>
      <w:r>
        <w:rPr>
          <w:rFonts w:ascii="宋体" w:eastAsia="宋体" w:hAnsi="宋体" w:cs="宋体" w:hint="eastAsia"/>
          <w:sz w:val="30"/>
          <w:szCs w:val="30"/>
          <w:lang w:eastAsia="zh-CN"/>
        </w:rPr>
        <w:t>4.3技术路线与方法</w:t>
      </w:r>
      <w:bookmarkEnd w:id="38"/>
    </w:p>
    <w:p w:rsidR="00405F55" w:rsidRDefault="00000000">
      <w:pPr>
        <w:pStyle w:val="12"/>
        <w:spacing w:line="319" w:lineRule="exact"/>
        <w:ind w:firstLine="440"/>
        <w:rPr>
          <w:color w:val="231F20"/>
          <w:sz w:val="24"/>
          <w:szCs w:val="24"/>
        </w:rPr>
      </w:pPr>
      <w:r>
        <w:rPr>
          <w:color w:val="231F20"/>
          <w:sz w:val="24"/>
          <w:szCs w:val="24"/>
        </w:rPr>
        <w:t>以二普、国土三调、全国农用地土壤污染状况详查、农业普查、耕地质量调查评价、全国森林资源清查固定样地体系等工作形成的相关成果为基础，以遥感技术、地理信息系统、全球定位系统、模型模拟技术、现代化验分析技术等为科技支撑，统筹现有工作平台、系统等资源，建立统一的土壤三普工作平台，实现普查工作全程智能化管理；统一技术规程，实现标准化、规范化操作；</w:t>
      </w:r>
      <w:proofErr w:type="gramStart"/>
      <w:r>
        <w:rPr>
          <w:color w:val="231F20"/>
          <w:sz w:val="24"/>
          <w:szCs w:val="24"/>
        </w:rPr>
        <w:t>以二普土壤图</w:t>
      </w:r>
      <w:proofErr w:type="gramEnd"/>
      <w:r>
        <w:rPr>
          <w:color w:val="231F20"/>
          <w:sz w:val="24"/>
          <w:szCs w:val="24"/>
        </w:rPr>
        <w:t>、土地利用现状图、地形图、全国农用地土壤污染状况详查点位图等为基础，统一编制土壤三普工作底图；根据土壤类型、土地利用现状类型、地形地貌等工作底图上统一规划布设外业采样点位；按</w:t>
      </w:r>
      <w:r>
        <w:rPr>
          <w:color w:val="231F20"/>
          <w:sz w:val="24"/>
          <w:szCs w:val="24"/>
        </w:rPr>
        <w:lastRenderedPageBreak/>
        <w:t>照检测资质、基础条件、检测能力等，全国统一筛选测试化验专业机构，规范建立测试指标与方法;</w:t>
      </w:r>
      <w:r>
        <w:rPr>
          <w:color w:val="231F20"/>
          <w:sz w:val="24"/>
          <w:szCs w:val="24"/>
        </w:rPr>
        <w:br/>
        <w:t>通过“一点一码”跟踪管理，统一构建涵盖</w:t>
      </w:r>
      <w:proofErr w:type="gramStart"/>
      <w:r>
        <w:rPr>
          <w:color w:val="231F20"/>
          <w:sz w:val="24"/>
          <w:szCs w:val="24"/>
        </w:rPr>
        <w:t>普查全</w:t>
      </w:r>
      <w:proofErr w:type="gramEnd"/>
      <w:r>
        <w:rPr>
          <w:color w:val="231F20"/>
          <w:sz w:val="24"/>
          <w:szCs w:val="24"/>
        </w:rPr>
        <w:t>过程质控体系；依托土壤三普工作平台，国家级和省级分别开展数据分析和成果汇总；实现土壤三普标准化、专业化、智能化，科学、规范、高效推进普查工作。</w:t>
      </w:r>
    </w:p>
    <w:p w:rsidR="00405F55" w:rsidRDefault="00405F55">
      <w:pPr>
        <w:pStyle w:val="12"/>
        <w:spacing w:line="319" w:lineRule="exact"/>
        <w:ind w:firstLine="440"/>
        <w:rPr>
          <w:color w:val="231F20"/>
          <w:sz w:val="24"/>
          <w:szCs w:val="24"/>
        </w:rPr>
      </w:pPr>
    </w:p>
    <w:p w:rsidR="00405F55" w:rsidRDefault="00000000">
      <w:pPr>
        <w:pStyle w:val="3"/>
        <w:spacing w:before="0" w:after="0" w:line="360" w:lineRule="auto"/>
        <w:rPr>
          <w:rFonts w:ascii="宋体" w:eastAsia="宋体" w:hAnsi="宋体" w:cs="宋体"/>
          <w:sz w:val="24"/>
          <w:lang w:eastAsia="zh-CN"/>
        </w:rPr>
      </w:pPr>
      <w:bookmarkStart w:id="39" w:name="bookmark38"/>
      <w:bookmarkStart w:id="40" w:name="_Toc31981"/>
      <w:r>
        <w:rPr>
          <w:rFonts w:ascii="宋体" w:eastAsia="宋体" w:hAnsi="宋体" w:cs="宋体" w:hint="eastAsia"/>
          <w:sz w:val="24"/>
          <w:lang w:eastAsia="zh-CN"/>
        </w:rPr>
        <w:t>4.3.1构建平台</w:t>
      </w:r>
      <w:bookmarkEnd w:id="39"/>
      <w:bookmarkEnd w:id="40"/>
    </w:p>
    <w:p w:rsidR="00405F55" w:rsidRDefault="00000000">
      <w:pPr>
        <w:pStyle w:val="12"/>
        <w:spacing w:line="319" w:lineRule="exact"/>
        <w:ind w:firstLine="440"/>
        <w:rPr>
          <w:color w:val="231F20"/>
          <w:sz w:val="24"/>
          <w:szCs w:val="24"/>
        </w:rPr>
      </w:pPr>
      <w:r>
        <w:rPr>
          <w:color w:val="231F20"/>
          <w:sz w:val="24"/>
          <w:szCs w:val="24"/>
        </w:rPr>
        <w:t>利用遥感、地理信息和全球定位技术、模型模拟技术和空间可视化技术等，统一构建土壤三普工作平台，构建任务分发、质量控制、进度把控等工作管理模块，样点样品、指标阈值等数据储存模块，数据分类分析汇总模块等。</w:t>
      </w:r>
    </w:p>
    <w:p w:rsidR="00405F55" w:rsidRDefault="00000000">
      <w:pPr>
        <w:pStyle w:val="3"/>
        <w:spacing w:before="0" w:after="0" w:line="360" w:lineRule="auto"/>
        <w:rPr>
          <w:rFonts w:ascii="宋体" w:eastAsia="宋体" w:hAnsi="宋体" w:cs="宋体"/>
          <w:sz w:val="24"/>
          <w:lang w:eastAsia="zh-CN"/>
        </w:rPr>
      </w:pPr>
      <w:bookmarkStart w:id="41" w:name="bookmark40"/>
      <w:bookmarkStart w:id="42" w:name="_Toc27413"/>
      <w:r>
        <w:rPr>
          <w:rFonts w:ascii="宋体" w:eastAsia="宋体" w:hAnsi="宋体" w:cs="宋体" w:hint="eastAsia"/>
          <w:sz w:val="24"/>
          <w:lang w:eastAsia="zh-CN"/>
        </w:rPr>
        <w:t>4.3.2制作底图</w:t>
      </w:r>
      <w:bookmarkEnd w:id="41"/>
      <w:bookmarkEnd w:id="42"/>
    </w:p>
    <w:p w:rsidR="00405F55" w:rsidRDefault="00000000">
      <w:pPr>
        <w:pStyle w:val="12"/>
        <w:spacing w:line="319" w:lineRule="exact"/>
        <w:ind w:firstLine="440"/>
        <w:rPr>
          <w:color w:val="231F20"/>
          <w:sz w:val="24"/>
          <w:szCs w:val="24"/>
        </w:rPr>
      </w:pPr>
      <w:r>
        <w:rPr>
          <w:color w:val="231F20"/>
          <w:sz w:val="24"/>
          <w:szCs w:val="24"/>
        </w:rPr>
        <w:t>利用2000国家大地坐标系（下同）</w:t>
      </w:r>
      <w:proofErr w:type="gramStart"/>
      <w:r>
        <w:rPr>
          <w:color w:val="231F20"/>
          <w:sz w:val="24"/>
          <w:szCs w:val="24"/>
        </w:rPr>
        <w:t>二普</w:t>
      </w:r>
      <w:proofErr w:type="gramEnd"/>
      <w:r>
        <w:rPr>
          <w:color w:val="231F20"/>
          <w:sz w:val="24"/>
          <w:szCs w:val="24"/>
        </w:rPr>
        <w:t>1:5万土壤图、国土三调1：1万土地利用现状图及其变更图（2019年12月31日）、地形图、最新行政区划图等资料，统一制作满足普查精度与面积计算统计的要求和不同层级使用的土壤三普工作底图。详见«第三次全国土壤普查工作底图制作与采样点布设技术规范»。</w:t>
      </w:r>
    </w:p>
    <w:p w:rsidR="00405F55" w:rsidRDefault="00405F55">
      <w:pPr>
        <w:pStyle w:val="12"/>
        <w:spacing w:line="319" w:lineRule="exact"/>
        <w:ind w:firstLine="440"/>
        <w:rPr>
          <w:color w:val="231F20"/>
          <w:sz w:val="24"/>
          <w:szCs w:val="24"/>
        </w:rPr>
      </w:pPr>
    </w:p>
    <w:p w:rsidR="00405F55" w:rsidRDefault="00000000">
      <w:pPr>
        <w:pStyle w:val="3"/>
        <w:spacing w:before="0" w:after="0" w:line="360" w:lineRule="auto"/>
        <w:rPr>
          <w:rFonts w:ascii="宋体" w:eastAsia="宋体" w:hAnsi="宋体" w:cs="宋体"/>
          <w:sz w:val="24"/>
          <w:lang w:eastAsia="zh-CN"/>
        </w:rPr>
      </w:pPr>
      <w:bookmarkStart w:id="43" w:name="bookmark42"/>
      <w:bookmarkStart w:id="44" w:name="_Toc4837"/>
      <w:r>
        <w:rPr>
          <w:rFonts w:ascii="宋体" w:eastAsia="宋体" w:hAnsi="宋体" w:cs="宋体" w:hint="eastAsia"/>
          <w:sz w:val="24"/>
          <w:lang w:eastAsia="zh-CN"/>
        </w:rPr>
        <w:t>4.3.3布设样点</w:t>
      </w:r>
      <w:bookmarkEnd w:id="43"/>
      <w:bookmarkEnd w:id="44"/>
    </w:p>
    <w:p w:rsidR="00405F55" w:rsidRDefault="00000000">
      <w:pPr>
        <w:pStyle w:val="12"/>
        <w:spacing w:line="319" w:lineRule="exact"/>
        <w:ind w:firstLine="440"/>
        <w:rPr>
          <w:color w:val="231F20"/>
          <w:sz w:val="24"/>
          <w:szCs w:val="24"/>
        </w:rPr>
      </w:pPr>
      <w:r>
        <w:rPr>
          <w:color w:val="231F20"/>
          <w:sz w:val="24"/>
          <w:szCs w:val="24"/>
        </w:rPr>
        <w:t>在土壤三普工作底图上，根据地形地貌、土壤类型、土地利用类型和种植制度等划分出差异化样点区域，参考全国农用地污染状况详查布点、森林资源清查固定样地等，在样点区域布设土壤采样点；根据主要土种（土属）的典型区域布设剖面样点。并与其他已完成的各专项调查工作衔接，保障相关调查采样点的统一性。样点样品实行“一点一码”，作为外业调查采样、内业测试化验、成果汇总分析等普查工作唯一信息溯源码。</w:t>
      </w:r>
    </w:p>
    <w:p w:rsidR="00405F55" w:rsidRDefault="00000000">
      <w:pPr>
        <w:pStyle w:val="3"/>
        <w:spacing w:before="0" w:after="0" w:line="360" w:lineRule="auto"/>
        <w:rPr>
          <w:rFonts w:ascii="宋体" w:eastAsia="宋体" w:hAnsi="宋体" w:cs="宋体"/>
          <w:sz w:val="24"/>
          <w:lang w:eastAsia="zh-CN"/>
        </w:rPr>
      </w:pPr>
      <w:bookmarkStart w:id="45" w:name="bookmark44"/>
      <w:bookmarkStart w:id="46" w:name="_Toc1034"/>
      <w:r>
        <w:rPr>
          <w:rFonts w:ascii="宋体" w:eastAsia="宋体" w:hAnsi="宋体" w:cs="宋体" w:hint="eastAsia"/>
          <w:sz w:val="24"/>
          <w:lang w:eastAsia="zh-CN"/>
        </w:rPr>
        <w:t>4.3.4调查采样</w:t>
      </w:r>
      <w:bookmarkEnd w:id="45"/>
      <w:bookmarkEnd w:id="46"/>
    </w:p>
    <w:p w:rsidR="00405F55" w:rsidRDefault="00000000">
      <w:pPr>
        <w:pStyle w:val="12"/>
        <w:spacing w:line="319" w:lineRule="exact"/>
        <w:ind w:firstLine="440"/>
        <w:rPr>
          <w:color w:val="231F20"/>
          <w:sz w:val="24"/>
          <w:szCs w:val="24"/>
        </w:rPr>
      </w:pPr>
      <w:r>
        <w:rPr>
          <w:color w:val="231F20"/>
          <w:sz w:val="24"/>
          <w:szCs w:val="24"/>
        </w:rPr>
        <w:t>省级统一组织开展外业调查与采样。根据统一布设的样点和调查任务，按照统一的采样标准，确定具体采样点位，调查立地条件与生产信息，采集表层土壤样品、典型代表剖面样等。表层土壤样品按照</w:t>
      </w:r>
      <w:r>
        <w:rPr>
          <w:color w:val="231F20"/>
          <w:sz w:val="24"/>
          <w:szCs w:val="24"/>
          <w:lang w:val="en-US"/>
        </w:rPr>
        <w:t>“S”</w:t>
      </w:r>
      <w:r>
        <w:rPr>
          <w:color w:val="231F20"/>
          <w:sz w:val="24"/>
          <w:szCs w:val="24"/>
        </w:rPr>
        <w:t>形或梅花形等方法混合取样，剖面样品采取整段采集和分层采样。</w:t>
      </w:r>
    </w:p>
    <w:p w:rsidR="00405F55" w:rsidRDefault="00000000">
      <w:pPr>
        <w:pStyle w:val="3"/>
        <w:spacing w:before="0" w:after="0" w:line="360" w:lineRule="auto"/>
        <w:rPr>
          <w:rFonts w:ascii="宋体" w:eastAsia="宋体" w:hAnsi="宋体" w:cs="宋体"/>
          <w:sz w:val="24"/>
          <w:lang w:eastAsia="zh-CN"/>
        </w:rPr>
      </w:pPr>
      <w:bookmarkStart w:id="47" w:name="bookmark46"/>
      <w:bookmarkStart w:id="48" w:name="_Toc30861"/>
      <w:r>
        <w:rPr>
          <w:rFonts w:ascii="宋体" w:eastAsia="宋体" w:hAnsi="宋体" w:cs="宋体" w:hint="eastAsia"/>
          <w:sz w:val="24"/>
          <w:lang w:eastAsia="zh-CN"/>
        </w:rPr>
        <w:t>4.3.5测试化验</w:t>
      </w:r>
      <w:bookmarkEnd w:id="47"/>
      <w:bookmarkEnd w:id="48"/>
    </w:p>
    <w:p w:rsidR="00405F55" w:rsidRDefault="00000000">
      <w:pPr>
        <w:pStyle w:val="12"/>
        <w:spacing w:line="323" w:lineRule="exact"/>
        <w:ind w:firstLine="440"/>
        <w:jc w:val="both"/>
      </w:pPr>
      <w:r>
        <w:t>以国家标准、行业标准和现代测试分析技术为基础，规范确定土壤三</w:t>
      </w:r>
      <w:proofErr w:type="gramStart"/>
      <w:r>
        <w:t>普统一</w:t>
      </w:r>
      <w:proofErr w:type="gramEnd"/>
      <w:r>
        <w:t>的样品制备和测试分</w:t>
      </w:r>
      <w:r>
        <w:br/>
        <w:t>析方法。其中，重金属指标的测试方法与全国农用地土壤污染状况详查相衔接一致。开展标准化前处</w:t>
      </w:r>
      <w:r>
        <w:br/>
        <w:t>理，进行土壤样品的物理、化学等指标批量化测试。充分衔接已有专项调查数据，相同点位已有化验</w:t>
      </w:r>
      <w:r>
        <w:br/>
        <w:t>结果满足土壤三</w:t>
      </w:r>
      <w:proofErr w:type="gramStart"/>
      <w:r>
        <w:t>普要求</w:t>
      </w:r>
      <w:proofErr w:type="gramEnd"/>
      <w:r>
        <w:t>的，不再重复测试相应指标。选择典型区域，利用土壤蚯蚓、线虫等动物形态</w:t>
      </w:r>
      <w:r>
        <w:br/>
        <w:t>学鉴定方法与高通量测序技术等，进行土壤生物指标测试。</w:t>
      </w:r>
    </w:p>
    <w:p w:rsidR="00405F55" w:rsidRDefault="00000000">
      <w:pPr>
        <w:pStyle w:val="3"/>
        <w:spacing w:before="0" w:after="0" w:line="360" w:lineRule="auto"/>
        <w:rPr>
          <w:rFonts w:ascii="宋体" w:eastAsia="宋体" w:hAnsi="宋体" w:cs="宋体"/>
          <w:sz w:val="24"/>
          <w:lang w:eastAsia="zh-CN"/>
        </w:rPr>
      </w:pPr>
      <w:bookmarkStart w:id="49" w:name="bookmark48"/>
      <w:bookmarkStart w:id="50" w:name="_Toc32286"/>
      <w:r>
        <w:rPr>
          <w:rFonts w:ascii="宋体" w:eastAsia="宋体" w:hAnsi="宋体" w:cs="宋体" w:hint="eastAsia"/>
          <w:sz w:val="24"/>
          <w:lang w:eastAsia="zh-CN"/>
        </w:rPr>
        <w:t>4.3.6数据汇总</w:t>
      </w:r>
      <w:bookmarkEnd w:id="49"/>
      <w:bookmarkEnd w:id="50"/>
    </w:p>
    <w:p w:rsidR="00405F55" w:rsidRDefault="00000000">
      <w:pPr>
        <w:pStyle w:val="12"/>
        <w:spacing w:line="319" w:lineRule="exact"/>
        <w:ind w:firstLine="440"/>
        <w:rPr>
          <w:color w:val="231F20"/>
          <w:sz w:val="24"/>
          <w:szCs w:val="24"/>
        </w:rPr>
      </w:pPr>
      <w:r>
        <w:rPr>
          <w:color w:val="231F20"/>
          <w:sz w:val="24"/>
          <w:szCs w:val="24"/>
        </w:rPr>
        <w:t>按照全国统一的数据库标准，建立分级数据库。采用</w:t>
      </w:r>
      <w:proofErr w:type="gramStart"/>
      <w:r>
        <w:rPr>
          <w:color w:val="231F20"/>
          <w:sz w:val="24"/>
          <w:szCs w:val="24"/>
        </w:rPr>
        <w:t>内外业</w:t>
      </w:r>
      <w:proofErr w:type="gramEnd"/>
      <w:r>
        <w:rPr>
          <w:color w:val="231F20"/>
          <w:sz w:val="24"/>
          <w:szCs w:val="24"/>
        </w:rPr>
        <w:t>一体化数据采集建库机制和移动互联网技术，以省为单位进行数据汇总，形成集属性、文档、图件、影像为一体的土壤三普数据库。</w:t>
      </w:r>
    </w:p>
    <w:p w:rsidR="00405F55" w:rsidRDefault="00000000">
      <w:pPr>
        <w:pStyle w:val="3"/>
        <w:spacing w:before="0" w:after="0" w:line="360" w:lineRule="auto"/>
        <w:rPr>
          <w:rFonts w:ascii="宋体" w:eastAsia="宋体" w:hAnsi="宋体" w:cs="宋体"/>
          <w:sz w:val="24"/>
          <w:lang w:eastAsia="zh-CN"/>
        </w:rPr>
      </w:pPr>
      <w:bookmarkStart w:id="51" w:name="bookmark50"/>
      <w:bookmarkStart w:id="52" w:name="_Toc21325"/>
      <w:r>
        <w:rPr>
          <w:rFonts w:ascii="宋体" w:eastAsia="宋体" w:hAnsi="宋体" w:cs="宋体" w:hint="eastAsia"/>
          <w:sz w:val="24"/>
          <w:lang w:eastAsia="zh-CN"/>
        </w:rPr>
        <w:t>4.3.7质量控制</w:t>
      </w:r>
      <w:bookmarkEnd w:id="51"/>
      <w:bookmarkEnd w:id="52"/>
    </w:p>
    <w:p w:rsidR="00405F55" w:rsidRDefault="00000000">
      <w:pPr>
        <w:pStyle w:val="12"/>
        <w:spacing w:line="323" w:lineRule="exact"/>
        <w:ind w:firstLine="440"/>
      </w:pPr>
      <w:r>
        <w:rPr>
          <w:color w:val="231F20"/>
          <w:sz w:val="24"/>
          <w:szCs w:val="24"/>
        </w:rPr>
        <w:t>统一技术规程，采用土壤三普工作平台开展全程管控，建立国家和地方抽查复核和</w:t>
      </w:r>
      <w:r>
        <w:rPr>
          <w:color w:val="231F20"/>
          <w:sz w:val="24"/>
          <w:szCs w:val="24"/>
        </w:rPr>
        <w:lastRenderedPageBreak/>
        <w:t>专家评估制度。外业调查采样实行“电子围栏”航迹管理，样点样品编码溯源；测试化验质量控制采用标样、平行样、盲样、飞行检查等手段，分级审核测试数据；数据审核采用设定指标阈值等方法进行质控。</w:t>
      </w:r>
      <w:r>
        <w:br/>
      </w:r>
      <w:r>
        <w:rPr>
          <w:rFonts w:hint="eastAsia"/>
          <w:b/>
          <w:sz w:val="24"/>
          <w:szCs w:val="24"/>
          <w:lang w:val="en-US" w:bidi="en-US"/>
        </w:rPr>
        <w:t>4.3.8 成果汇总</w:t>
      </w:r>
    </w:p>
    <w:p w:rsidR="00405F55" w:rsidRDefault="00000000">
      <w:pPr>
        <w:pStyle w:val="12"/>
        <w:spacing w:line="323" w:lineRule="exact"/>
        <w:ind w:firstLine="440"/>
      </w:pPr>
      <w:r>
        <w:rPr>
          <w:color w:val="231F20"/>
          <w:sz w:val="24"/>
          <w:szCs w:val="24"/>
        </w:rPr>
        <w:t>采用现代统计方法，对土壤性状、土壤退化与障碍、土壤利用等数据进行分析，编制土壤图和系列专题图，进行成果凝练与总结，阶段成果分段验收。</w:t>
      </w:r>
    </w:p>
    <w:p w:rsidR="00405F55" w:rsidRDefault="00000000">
      <w:pPr>
        <w:pStyle w:val="2"/>
        <w:spacing w:before="0" w:after="0" w:line="360" w:lineRule="auto"/>
        <w:rPr>
          <w:rFonts w:ascii="宋体" w:eastAsia="宋体" w:hAnsi="宋体" w:cs="宋体"/>
          <w:sz w:val="30"/>
          <w:szCs w:val="30"/>
          <w:lang w:eastAsia="zh-CN"/>
        </w:rPr>
      </w:pPr>
      <w:bookmarkStart w:id="53" w:name="_Toc13451"/>
      <w:r>
        <w:rPr>
          <w:rFonts w:ascii="宋体" w:eastAsia="宋体" w:hAnsi="宋体" w:cs="宋体" w:hint="eastAsia"/>
          <w:sz w:val="30"/>
          <w:szCs w:val="30"/>
          <w:lang w:eastAsia="zh-CN"/>
        </w:rPr>
        <w:t>4.4普查进度安排</w:t>
      </w:r>
      <w:bookmarkEnd w:id="53"/>
    </w:p>
    <w:p w:rsidR="00405F55" w:rsidRDefault="00000000">
      <w:pPr>
        <w:pStyle w:val="12"/>
        <w:spacing w:line="323" w:lineRule="exact"/>
        <w:ind w:firstLine="440"/>
        <w:rPr>
          <w:color w:val="231F20"/>
          <w:sz w:val="24"/>
          <w:szCs w:val="24"/>
        </w:rPr>
      </w:pPr>
      <w:r>
        <w:rPr>
          <w:color w:val="231F20"/>
          <w:sz w:val="24"/>
          <w:szCs w:val="24"/>
        </w:rPr>
        <w:t>2022年，完成普查前期准备工作、普查试点等工作。</w:t>
      </w:r>
    </w:p>
    <w:p w:rsidR="00405F55" w:rsidRDefault="00000000">
      <w:pPr>
        <w:pStyle w:val="12"/>
        <w:spacing w:line="323" w:lineRule="exact"/>
        <w:ind w:firstLine="440"/>
        <w:rPr>
          <w:color w:val="231F20"/>
          <w:sz w:val="24"/>
          <w:szCs w:val="24"/>
        </w:rPr>
      </w:pPr>
      <w:r>
        <w:rPr>
          <w:color w:val="231F20"/>
          <w:sz w:val="24"/>
          <w:szCs w:val="24"/>
          <w:lang w:val="en-US"/>
        </w:rPr>
        <w:t>2023—2024</w:t>
      </w:r>
      <w:r>
        <w:rPr>
          <w:color w:val="231F20"/>
          <w:sz w:val="24"/>
          <w:szCs w:val="24"/>
        </w:rPr>
        <w:t>年，土壤普查工作全面铺开，外业调查采样时间截至2024年12月底结束；部分地区形成阶段性成果。</w:t>
      </w:r>
    </w:p>
    <w:p w:rsidR="00405F55" w:rsidRDefault="00000000">
      <w:pPr>
        <w:pStyle w:val="12"/>
        <w:spacing w:line="323" w:lineRule="exact"/>
        <w:ind w:firstLine="440"/>
        <w:rPr>
          <w:color w:val="231F20"/>
          <w:sz w:val="24"/>
          <w:szCs w:val="24"/>
        </w:rPr>
      </w:pPr>
      <w:r>
        <w:rPr>
          <w:color w:val="231F20"/>
          <w:sz w:val="24"/>
          <w:szCs w:val="24"/>
        </w:rPr>
        <w:t>2025年上半年，完成样品测试与数据审核工作；下半年，完成数据汇交与整理分析，成果汇总与验收等。</w:t>
      </w:r>
    </w:p>
    <w:p w:rsidR="00405F55" w:rsidRDefault="00000000">
      <w:pPr>
        <w:pStyle w:val="2"/>
        <w:spacing w:before="0" w:after="0" w:line="360" w:lineRule="auto"/>
        <w:rPr>
          <w:rFonts w:ascii="宋体" w:eastAsia="宋体" w:hAnsi="宋体" w:cs="宋体"/>
          <w:sz w:val="30"/>
          <w:szCs w:val="30"/>
          <w:lang w:eastAsia="zh-CN"/>
        </w:rPr>
      </w:pPr>
      <w:bookmarkStart w:id="54" w:name="_Toc30499"/>
      <w:r>
        <w:rPr>
          <w:rFonts w:ascii="宋体" w:eastAsia="宋体" w:hAnsi="宋体" w:cs="宋体" w:hint="eastAsia"/>
          <w:sz w:val="30"/>
          <w:szCs w:val="30"/>
          <w:lang w:eastAsia="zh-CN"/>
        </w:rPr>
        <w:t>4.5普查工作流程</w:t>
      </w:r>
      <w:bookmarkEnd w:id="54"/>
    </w:p>
    <w:p w:rsidR="00405F55" w:rsidRDefault="00000000">
      <w:pPr>
        <w:pStyle w:val="12"/>
        <w:spacing w:line="323" w:lineRule="exact"/>
        <w:ind w:firstLine="440"/>
        <w:rPr>
          <w:color w:val="231F20"/>
          <w:sz w:val="24"/>
          <w:szCs w:val="24"/>
        </w:rPr>
      </w:pPr>
      <w:r>
        <w:rPr>
          <w:color w:val="231F20"/>
          <w:sz w:val="24"/>
          <w:szCs w:val="24"/>
        </w:rPr>
        <w:t>土壤三普工作流程见图1。</w:t>
      </w:r>
    </w:p>
    <w:p w:rsidR="00405F55" w:rsidRDefault="00000000">
      <w:pPr>
        <w:pStyle w:val="3"/>
        <w:numPr>
          <w:ilvl w:val="2"/>
          <w:numId w:val="2"/>
        </w:numPr>
        <w:spacing w:before="0" w:after="0" w:line="360" w:lineRule="auto"/>
        <w:rPr>
          <w:rFonts w:ascii="宋体" w:eastAsia="宋体" w:hAnsi="宋体" w:cs="宋体"/>
          <w:sz w:val="24"/>
        </w:rPr>
      </w:pPr>
      <w:bookmarkStart w:id="55" w:name="bookmark52"/>
      <w:bookmarkStart w:id="56" w:name="_Toc8792"/>
      <w:proofErr w:type="spellStart"/>
      <w:r>
        <w:rPr>
          <w:rFonts w:ascii="宋体" w:eastAsia="宋体" w:hAnsi="宋体" w:cs="宋体" w:hint="eastAsia"/>
          <w:sz w:val="24"/>
        </w:rPr>
        <w:t>做好前期准备</w:t>
      </w:r>
      <w:bookmarkEnd w:id="55"/>
      <w:bookmarkEnd w:id="56"/>
      <w:proofErr w:type="spellEnd"/>
    </w:p>
    <w:p w:rsidR="00405F55" w:rsidRDefault="00000000">
      <w:pPr>
        <w:pStyle w:val="25"/>
        <w:spacing w:after="140" w:line="240" w:lineRule="auto"/>
        <w:ind w:firstLineChars="200" w:firstLine="480"/>
        <w:rPr>
          <w:sz w:val="24"/>
          <w:szCs w:val="24"/>
        </w:rPr>
      </w:pPr>
      <w:r>
        <w:rPr>
          <w:sz w:val="24"/>
          <w:szCs w:val="24"/>
        </w:rPr>
        <w:t>编制土壤普查技术规程与规范，明确普查内容、指标体系、技术方法、技术要求和质量控制等。</w:t>
      </w:r>
      <w:proofErr w:type="gramStart"/>
      <w:r>
        <w:rPr>
          <w:sz w:val="24"/>
          <w:szCs w:val="24"/>
        </w:rPr>
        <w:t>收集二普土壤图</w:t>
      </w:r>
      <w:proofErr w:type="gramEnd"/>
      <w:r>
        <w:rPr>
          <w:sz w:val="24"/>
          <w:szCs w:val="24"/>
        </w:rPr>
        <w:t>、国土三调土地利用现状图及其变更图、地形图、最新行政区划图等资料，制作土壤三普工作底图，布设土壤表层与剖面样点，所有样点/样品实行“一点一码”编码及其任务赋值。建立全国统一指导和管控的土壤普查工作平台，实现样点样品信息、外业调查、溯源跟踪、数据传输、质量控制等智能化管理。</w:t>
      </w:r>
      <w:r>
        <w:rPr>
          <w:noProof/>
          <w:sz w:val="24"/>
          <w:szCs w:val="24"/>
        </w:rPr>
        <w:lastRenderedPageBreak/>
        <w:drawing>
          <wp:inline distT="0" distB="0" distL="114300" distR="114300">
            <wp:extent cx="5890260" cy="5824220"/>
            <wp:effectExtent l="0" t="0" r="15240" b="5080"/>
            <wp:docPr id="5" name="图片 5"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2"/>
                    <pic:cNvPicPr>
                      <a:picLocks noChangeAspect="1"/>
                    </pic:cNvPicPr>
                  </pic:nvPicPr>
                  <pic:blipFill>
                    <a:blip r:embed="rId17"/>
                    <a:stretch>
                      <a:fillRect/>
                    </a:stretch>
                  </pic:blipFill>
                  <pic:spPr>
                    <a:xfrm>
                      <a:off x="0" y="0"/>
                      <a:ext cx="5890260" cy="5824220"/>
                    </a:xfrm>
                    <a:prstGeom prst="rect">
                      <a:avLst/>
                    </a:prstGeom>
                  </pic:spPr>
                </pic:pic>
              </a:graphicData>
            </a:graphic>
          </wp:inline>
        </w:drawing>
      </w:r>
    </w:p>
    <w:p w:rsidR="00405F55" w:rsidRDefault="00000000">
      <w:pPr>
        <w:pStyle w:val="25"/>
        <w:spacing w:after="140" w:line="240" w:lineRule="auto"/>
        <w:jc w:val="center"/>
        <w:rPr>
          <w:b/>
          <w:bCs/>
          <w:sz w:val="24"/>
          <w:szCs w:val="24"/>
        </w:rPr>
      </w:pPr>
      <w:r>
        <w:rPr>
          <w:rFonts w:hint="eastAsia"/>
          <w:b/>
          <w:bCs/>
          <w:color w:val="000000"/>
          <w:sz w:val="24"/>
          <w:szCs w:val="24"/>
        </w:rPr>
        <w:t>图1 土壤普查工作流程</w:t>
      </w:r>
    </w:p>
    <w:p w:rsidR="00405F55" w:rsidRDefault="00000000">
      <w:pPr>
        <w:pStyle w:val="3"/>
        <w:numPr>
          <w:ilvl w:val="2"/>
          <w:numId w:val="2"/>
        </w:numPr>
        <w:spacing w:before="0" w:after="0" w:line="360" w:lineRule="auto"/>
        <w:rPr>
          <w:rFonts w:ascii="宋体" w:eastAsia="宋体" w:hAnsi="宋体" w:cs="宋体"/>
          <w:sz w:val="24"/>
        </w:rPr>
      </w:pPr>
      <w:bookmarkStart w:id="57" w:name="bookmark54"/>
      <w:bookmarkStart w:id="58" w:name="_Toc5615"/>
      <w:proofErr w:type="spellStart"/>
      <w:r>
        <w:rPr>
          <w:rFonts w:ascii="宋体" w:eastAsia="宋体" w:hAnsi="宋体" w:cs="宋体" w:hint="eastAsia"/>
          <w:sz w:val="24"/>
        </w:rPr>
        <w:t>组织开展试点</w:t>
      </w:r>
      <w:bookmarkEnd w:id="57"/>
      <w:bookmarkEnd w:id="58"/>
      <w:proofErr w:type="spellEnd"/>
    </w:p>
    <w:p w:rsidR="00405F55" w:rsidRDefault="00000000">
      <w:pPr>
        <w:pStyle w:val="25"/>
        <w:spacing w:after="140" w:line="240" w:lineRule="auto"/>
        <w:ind w:firstLineChars="200" w:firstLine="480"/>
        <w:rPr>
          <w:sz w:val="24"/>
          <w:szCs w:val="24"/>
        </w:rPr>
      </w:pPr>
      <w:r>
        <w:rPr>
          <w:sz w:val="24"/>
          <w:szCs w:val="24"/>
        </w:rPr>
        <w:t>统筹推进省级、县级试点工作。通过试点，总结工作经验，完善技术规程，探索工作机制。</w:t>
      </w:r>
    </w:p>
    <w:p w:rsidR="00405F55" w:rsidRDefault="00000000">
      <w:pPr>
        <w:pStyle w:val="3"/>
        <w:numPr>
          <w:ilvl w:val="2"/>
          <w:numId w:val="2"/>
        </w:numPr>
        <w:spacing w:before="0" w:after="0" w:line="360" w:lineRule="auto"/>
        <w:rPr>
          <w:rFonts w:ascii="宋体" w:eastAsia="宋体" w:hAnsi="宋体" w:cs="宋体"/>
          <w:sz w:val="24"/>
        </w:rPr>
      </w:pPr>
      <w:bookmarkStart w:id="59" w:name="bookmark56"/>
      <w:bookmarkStart w:id="60" w:name="_Toc12535"/>
      <w:proofErr w:type="spellStart"/>
      <w:r>
        <w:rPr>
          <w:rFonts w:ascii="宋体" w:eastAsia="宋体" w:hAnsi="宋体" w:cs="宋体" w:hint="eastAsia"/>
          <w:sz w:val="24"/>
        </w:rPr>
        <w:t>组织外业调查采样</w:t>
      </w:r>
      <w:bookmarkEnd w:id="59"/>
      <w:bookmarkEnd w:id="60"/>
      <w:proofErr w:type="spellEnd"/>
    </w:p>
    <w:p w:rsidR="00405F55" w:rsidRDefault="00000000">
      <w:pPr>
        <w:pStyle w:val="25"/>
        <w:spacing w:after="140" w:line="240" w:lineRule="auto"/>
        <w:ind w:firstLineChars="200" w:firstLine="480"/>
        <w:rPr>
          <w:sz w:val="24"/>
          <w:szCs w:val="24"/>
        </w:rPr>
      </w:pPr>
      <w:r>
        <w:rPr>
          <w:sz w:val="24"/>
          <w:szCs w:val="24"/>
        </w:rPr>
        <w:t>专业外业调查</w:t>
      </w:r>
      <w:proofErr w:type="gramStart"/>
      <w:r>
        <w:rPr>
          <w:sz w:val="24"/>
          <w:szCs w:val="24"/>
        </w:rPr>
        <w:t>队依据</w:t>
      </w:r>
      <w:proofErr w:type="gramEnd"/>
      <w:r>
        <w:rPr>
          <w:sz w:val="24"/>
          <w:szCs w:val="24"/>
        </w:rPr>
        <w:t>统一规划样点，开展外业实地调查和采样，实时在线填报相关信息，按相关规范科学储运、分发样品至测试单位和样品保存单位。</w:t>
      </w:r>
    </w:p>
    <w:p w:rsidR="00405F55" w:rsidRDefault="00000000">
      <w:pPr>
        <w:pStyle w:val="3"/>
        <w:numPr>
          <w:ilvl w:val="2"/>
          <w:numId w:val="2"/>
        </w:numPr>
        <w:spacing w:before="0" w:after="0" w:line="360" w:lineRule="auto"/>
        <w:rPr>
          <w:rFonts w:ascii="宋体" w:eastAsia="宋体" w:hAnsi="宋体" w:cs="宋体"/>
          <w:sz w:val="24"/>
        </w:rPr>
      </w:pPr>
      <w:bookmarkStart w:id="61" w:name="bookmark58"/>
      <w:bookmarkStart w:id="62" w:name="_Toc15915"/>
      <w:proofErr w:type="spellStart"/>
      <w:r>
        <w:rPr>
          <w:rFonts w:ascii="宋体" w:eastAsia="宋体" w:hAnsi="宋体" w:cs="宋体" w:hint="eastAsia"/>
          <w:sz w:val="24"/>
        </w:rPr>
        <w:t>开展内业测试化验</w:t>
      </w:r>
      <w:bookmarkEnd w:id="61"/>
      <w:bookmarkEnd w:id="62"/>
      <w:proofErr w:type="spellEnd"/>
    </w:p>
    <w:p w:rsidR="00405F55" w:rsidRDefault="00000000">
      <w:pPr>
        <w:pStyle w:val="25"/>
        <w:spacing w:after="140" w:line="240" w:lineRule="auto"/>
        <w:ind w:firstLineChars="200" w:firstLine="480"/>
        <w:rPr>
          <w:sz w:val="24"/>
          <w:szCs w:val="24"/>
        </w:rPr>
      </w:pPr>
      <w:r>
        <w:rPr>
          <w:sz w:val="24"/>
          <w:szCs w:val="24"/>
        </w:rPr>
        <w:t>检测机构按照统一检测标准、检测方法，开展样品测试化验，实时在线填报测试结果。</w:t>
      </w:r>
    </w:p>
    <w:p w:rsidR="00405F55" w:rsidRDefault="00000000">
      <w:pPr>
        <w:pStyle w:val="3"/>
        <w:numPr>
          <w:ilvl w:val="2"/>
          <w:numId w:val="2"/>
        </w:numPr>
        <w:spacing w:before="0" w:after="0" w:line="360" w:lineRule="auto"/>
        <w:rPr>
          <w:rFonts w:ascii="宋体" w:eastAsia="宋体" w:hAnsi="宋体" w:cs="宋体"/>
          <w:sz w:val="24"/>
        </w:rPr>
      </w:pPr>
      <w:bookmarkStart w:id="63" w:name="bookmark60"/>
      <w:bookmarkStart w:id="64" w:name="_Toc31900"/>
      <w:proofErr w:type="spellStart"/>
      <w:r>
        <w:rPr>
          <w:rFonts w:ascii="宋体" w:eastAsia="宋体" w:hAnsi="宋体" w:cs="宋体" w:hint="eastAsia"/>
          <w:sz w:val="24"/>
        </w:rPr>
        <w:lastRenderedPageBreak/>
        <w:t>形成普查成果</w:t>
      </w:r>
      <w:bookmarkEnd w:id="63"/>
      <w:bookmarkEnd w:id="64"/>
      <w:proofErr w:type="spellEnd"/>
    </w:p>
    <w:p w:rsidR="00405F55" w:rsidRDefault="00000000">
      <w:pPr>
        <w:pStyle w:val="12"/>
        <w:spacing w:after="80" w:line="314" w:lineRule="exact"/>
        <w:ind w:firstLine="420"/>
        <w:rPr>
          <w:color w:val="231F20"/>
          <w:sz w:val="24"/>
          <w:szCs w:val="24"/>
        </w:rPr>
      </w:pPr>
      <w:r>
        <w:rPr>
          <w:color w:val="231F20"/>
          <w:sz w:val="24"/>
          <w:szCs w:val="24"/>
        </w:rPr>
        <w:t>国家相关部门负责构建数据库，开展全国范围内普查数据的校核和整理，采用数字土壤模型方法分析制图。各省负责本区域内普查数据的校核、补充完善、整理分析和制图。撰写普查报告，整理共享数据，绘制专业图件，建立土壤样品库。</w:t>
      </w:r>
    </w:p>
    <w:p w:rsidR="00405F55" w:rsidRDefault="00000000">
      <w:pPr>
        <w:pStyle w:val="2"/>
        <w:spacing w:before="0" w:after="0" w:line="360" w:lineRule="auto"/>
        <w:rPr>
          <w:rFonts w:ascii="宋体" w:eastAsia="宋体" w:hAnsi="宋体" w:cs="宋体"/>
          <w:sz w:val="30"/>
          <w:szCs w:val="30"/>
          <w:lang w:eastAsia="zh-CN"/>
        </w:rPr>
      </w:pPr>
      <w:bookmarkStart w:id="65" w:name="bookmark62"/>
      <w:bookmarkStart w:id="66" w:name="_Toc19536"/>
      <w:r>
        <w:rPr>
          <w:rFonts w:ascii="宋体" w:eastAsia="宋体" w:hAnsi="宋体" w:cs="宋体" w:hint="eastAsia"/>
          <w:sz w:val="30"/>
          <w:szCs w:val="30"/>
          <w:lang w:eastAsia="zh-CN"/>
        </w:rPr>
        <w:t>4.6主要成果</w:t>
      </w:r>
      <w:bookmarkEnd w:id="65"/>
      <w:bookmarkEnd w:id="66"/>
    </w:p>
    <w:p w:rsidR="00405F55" w:rsidRDefault="00000000">
      <w:pPr>
        <w:pStyle w:val="34"/>
        <w:keepNext/>
        <w:keepLines/>
        <w:tabs>
          <w:tab w:val="left" w:pos="734"/>
        </w:tabs>
        <w:spacing w:line="307" w:lineRule="exact"/>
        <w:rPr>
          <w:sz w:val="24"/>
          <w:szCs w:val="24"/>
        </w:rPr>
      </w:pPr>
      <w:bookmarkStart w:id="67" w:name="_Toc17549"/>
      <w:r>
        <w:rPr>
          <w:rFonts w:hint="eastAsia"/>
          <w:sz w:val="24"/>
          <w:szCs w:val="24"/>
          <w:lang w:val="en-US"/>
        </w:rPr>
        <w:t xml:space="preserve">4.6.1   </w:t>
      </w:r>
      <w:r>
        <w:rPr>
          <w:sz w:val="24"/>
          <w:szCs w:val="24"/>
        </w:rPr>
        <w:t>数据成果</w:t>
      </w:r>
      <w:bookmarkEnd w:id="67"/>
    </w:p>
    <w:p w:rsidR="00405F55" w:rsidRDefault="00000000">
      <w:pPr>
        <w:pStyle w:val="12"/>
        <w:spacing w:after="80" w:line="314" w:lineRule="exact"/>
        <w:ind w:firstLine="420"/>
        <w:rPr>
          <w:color w:val="231F20"/>
          <w:sz w:val="24"/>
          <w:szCs w:val="24"/>
        </w:rPr>
      </w:pPr>
      <w:r>
        <w:rPr>
          <w:color w:val="231F20"/>
          <w:sz w:val="24"/>
          <w:szCs w:val="24"/>
        </w:rPr>
        <w:t>形成全国土壤类型、土壤理化和典型区域生物性状指标数据清单，以及土壤退化与障碍数据、特色农产品区域等土壤专题调查数据、适宜于不同土地利用类型的土壤面积数据等。</w:t>
      </w:r>
    </w:p>
    <w:p w:rsidR="00405F55" w:rsidRDefault="00000000">
      <w:pPr>
        <w:pStyle w:val="34"/>
        <w:keepNext/>
        <w:keepLines/>
        <w:tabs>
          <w:tab w:val="left" w:pos="734"/>
        </w:tabs>
        <w:spacing w:line="307" w:lineRule="exact"/>
        <w:rPr>
          <w:sz w:val="24"/>
          <w:szCs w:val="24"/>
        </w:rPr>
      </w:pPr>
      <w:bookmarkStart w:id="68" w:name="bookmark65"/>
      <w:bookmarkStart w:id="69" w:name="_Toc19576"/>
      <w:r>
        <w:rPr>
          <w:rFonts w:hint="eastAsia"/>
          <w:sz w:val="24"/>
          <w:szCs w:val="24"/>
          <w:lang w:val="en-US"/>
        </w:rPr>
        <w:t xml:space="preserve">4.6.2   </w:t>
      </w:r>
      <w:r>
        <w:rPr>
          <w:sz w:val="24"/>
          <w:szCs w:val="24"/>
        </w:rPr>
        <w:t>数字化图件成果</w:t>
      </w:r>
      <w:bookmarkEnd w:id="68"/>
      <w:bookmarkEnd w:id="69"/>
    </w:p>
    <w:p w:rsidR="00405F55" w:rsidRDefault="00000000">
      <w:pPr>
        <w:pStyle w:val="12"/>
        <w:spacing w:after="80" w:line="314" w:lineRule="exact"/>
        <w:ind w:firstLine="420"/>
        <w:rPr>
          <w:color w:val="231F20"/>
          <w:sz w:val="24"/>
          <w:szCs w:val="24"/>
        </w:rPr>
      </w:pPr>
      <w:r>
        <w:rPr>
          <w:color w:val="231F20"/>
          <w:sz w:val="24"/>
          <w:szCs w:val="24"/>
        </w:rPr>
        <w:t>形成分类土壤普查成果图件，主要包括全国土壤类型图，土壤质量分布图，土壤利用适宜性分布图土壤养分图，黑土耕地退化、耕地土壤盐碱和酸化分布图，特色农产品生产区域土壤专题调查图等。</w:t>
      </w:r>
    </w:p>
    <w:p w:rsidR="00405F55" w:rsidRDefault="00000000">
      <w:pPr>
        <w:pStyle w:val="34"/>
        <w:keepNext/>
        <w:keepLines/>
        <w:tabs>
          <w:tab w:val="left" w:pos="734"/>
        </w:tabs>
        <w:spacing w:line="307" w:lineRule="exact"/>
        <w:rPr>
          <w:sz w:val="24"/>
          <w:szCs w:val="24"/>
        </w:rPr>
      </w:pPr>
      <w:bookmarkStart w:id="70" w:name="bookmark67"/>
      <w:bookmarkStart w:id="71" w:name="_Toc11967"/>
      <w:r>
        <w:rPr>
          <w:rFonts w:hint="eastAsia"/>
          <w:sz w:val="24"/>
          <w:szCs w:val="24"/>
          <w:lang w:val="en-US"/>
        </w:rPr>
        <w:t xml:space="preserve">4.6.3   </w:t>
      </w:r>
      <w:r>
        <w:rPr>
          <w:sz w:val="24"/>
          <w:szCs w:val="24"/>
        </w:rPr>
        <w:t>文字成果</w:t>
      </w:r>
      <w:bookmarkEnd w:id="70"/>
      <w:bookmarkEnd w:id="71"/>
    </w:p>
    <w:p w:rsidR="00405F55" w:rsidRDefault="00000000">
      <w:pPr>
        <w:pStyle w:val="12"/>
        <w:spacing w:after="80" w:line="314" w:lineRule="exact"/>
        <w:ind w:firstLine="420"/>
        <w:rPr>
          <w:color w:val="231F20"/>
          <w:sz w:val="24"/>
          <w:szCs w:val="24"/>
        </w:rPr>
      </w:pPr>
      <w:r>
        <w:rPr>
          <w:color w:val="231F20"/>
          <w:sz w:val="24"/>
          <w:szCs w:val="24"/>
        </w:rPr>
        <w:t>形成各类文字报告，主要包括土壤三普工作报告、技术报告，全国土壤利用适宜性（适宜于耕地、园地、林地和草地利用）评价报告，全国耕地、园地、林地、草地土壤质量报告，黑土耕地退化、耕地土壤盐碱和酸化、特色农产品区域土壤特征等专项报告。</w:t>
      </w:r>
    </w:p>
    <w:p w:rsidR="00405F55" w:rsidRDefault="00000000">
      <w:pPr>
        <w:pStyle w:val="34"/>
        <w:keepNext/>
        <w:keepLines/>
        <w:tabs>
          <w:tab w:val="left" w:pos="734"/>
        </w:tabs>
        <w:spacing w:line="307" w:lineRule="exact"/>
        <w:rPr>
          <w:sz w:val="24"/>
          <w:szCs w:val="24"/>
        </w:rPr>
      </w:pPr>
      <w:bookmarkStart w:id="72" w:name="bookmark69"/>
      <w:bookmarkStart w:id="73" w:name="_Toc30207"/>
      <w:r>
        <w:rPr>
          <w:rFonts w:hint="eastAsia"/>
          <w:sz w:val="24"/>
          <w:szCs w:val="24"/>
          <w:lang w:val="en-US"/>
        </w:rPr>
        <w:t xml:space="preserve">4.6.4   </w:t>
      </w:r>
      <w:r>
        <w:rPr>
          <w:sz w:val="24"/>
          <w:szCs w:val="24"/>
        </w:rPr>
        <w:t>数据库成果</w:t>
      </w:r>
      <w:bookmarkEnd w:id="72"/>
      <w:bookmarkEnd w:id="73"/>
    </w:p>
    <w:p w:rsidR="00405F55" w:rsidRDefault="00000000">
      <w:pPr>
        <w:pStyle w:val="12"/>
        <w:spacing w:after="80" w:line="314" w:lineRule="exact"/>
        <w:ind w:firstLine="420"/>
        <w:rPr>
          <w:color w:val="231F20"/>
          <w:sz w:val="24"/>
          <w:szCs w:val="24"/>
        </w:rPr>
      </w:pPr>
      <w:r>
        <w:rPr>
          <w:color w:val="231F20"/>
          <w:sz w:val="24"/>
          <w:szCs w:val="24"/>
        </w:rPr>
        <w:t>形成集土壤普查数据、图件和文字等国家级、省级、县级土壤三普数据库，主要包括土壤性状数据库、土壤退化和障碍数据库、土壤利用等专题数据库。</w:t>
      </w:r>
    </w:p>
    <w:p w:rsidR="00405F55" w:rsidRDefault="00000000">
      <w:pPr>
        <w:pStyle w:val="34"/>
        <w:keepNext/>
        <w:keepLines/>
        <w:tabs>
          <w:tab w:val="left" w:pos="734"/>
        </w:tabs>
        <w:spacing w:line="307" w:lineRule="exact"/>
        <w:rPr>
          <w:sz w:val="24"/>
          <w:szCs w:val="24"/>
        </w:rPr>
      </w:pPr>
      <w:bookmarkStart w:id="74" w:name="bookmark71"/>
      <w:bookmarkStart w:id="75" w:name="_Toc372"/>
      <w:r>
        <w:rPr>
          <w:rFonts w:hint="eastAsia"/>
          <w:sz w:val="24"/>
          <w:szCs w:val="24"/>
          <w:lang w:val="en-US"/>
        </w:rPr>
        <w:t xml:space="preserve">4.6.5   </w:t>
      </w:r>
      <w:r>
        <w:rPr>
          <w:sz w:val="24"/>
          <w:szCs w:val="24"/>
        </w:rPr>
        <w:t>样品库成果</w:t>
      </w:r>
      <w:bookmarkEnd w:id="74"/>
      <w:bookmarkEnd w:id="75"/>
    </w:p>
    <w:p w:rsidR="00405F55" w:rsidRDefault="00000000">
      <w:pPr>
        <w:pStyle w:val="12"/>
        <w:spacing w:after="80" w:line="314" w:lineRule="exact"/>
        <w:ind w:firstLine="420"/>
        <w:rPr>
          <w:color w:val="231F20"/>
          <w:sz w:val="24"/>
          <w:szCs w:val="24"/>
        </w:rPr>
      </w:pPr>
      <w:r>
        <w:rPr>
          <w:color w:val="231F20"/>
          <w:sz w:val="24"/>
          <w:szCs w:val="24"/>
        </w:rPr>
        <w:t>形成国家级和省级土壤样品库，典型土壤剖面标本库。</w:t>
      </w:r>
    </w:p>
    <w:p w:rsidR="00405F55" w:rsidRDefault="00000000">
      <w:pPr>
        <w:pStyle w:val="1"/>
        <w:spacing w:before="0" w:after="0" w:line="360" w:lineRule="auto"/>
        <w:rPr>
          <w:rFonts w:ascii="微软雅黑" w:eastAsia="微软雅黑" w:hAnsi="微软雅黑" w:cs="微软雅黑"/>
          <w:sz w:val="32"/>
          <w:szCs w:val="32"/>
          <w:lang w:eastAsia="zh-CN"/>
        </w:rPr>
      </w:pPr>
      <w:bookmarkStart w:id="76" w:name="_Toc31018"/>
      <w:r>
        <w:rPr>
          <w:rFonts w:ascii="微软雅黑" w:eastAsia="微软雅黑" w:hAnsi="微软雅黑" w:cs="微软雅黑" w:hint="eastAsia"/>
          <w:sz w:val="32"/>
          <w:szCs w:val="32"/>
          <w:lang w:eastAsia="zh-CN"/>
        </w:rPr>
        <w:t>5 土壤三普的准备工作</w:t>
      </w:r>
      <w:bookmarkEnd w:id="76"/>
    </w:p>
    <w:p w:rsidR="00405F55" w:rsidRDefault="00000000">
      <w:pPr>
        <w:pStyle w:val="2"/>
        <w:spacing w:before="0" w:after="0" w:line="360" w:lineRule="auto"/>
        <w:rPr>
          <w:rFonts w:ascii="宋体" w:eastAsia="宋体" w:hAnsi="宋体" w:cs="宋体"/>
          <w:sz w:val="30"/>
          <w:szCs w:val="30"/>
          <w:lang w:eastAsia="zh-CN"/>
        </w:rPr>
      </w:pPr>
      <w:bookmarkStart w:id="77" w:name="_Toc19130"/>
      <w:r>
        <w:rPr>
          <w:rFonts w:ascii="宋体" w:eastAsia="宋体" w:hAnsi="宋体" w:cs="宋体" w:hint="eastAsia"/>
          <w:sz w:val="30"/>
          <w:szCs w:val="30"/>
          <w:lang w:eastAsia="zh-CN"/>
        </w:rPr>
        <w:t>5.1制定全国工作方案与省级实施方案</w:t>
      </w:r>
      <w:bookmarkEnd w:id="77"/>
    </w:p>
    <w:p w:rsidR="00405F55" w:rsidRDefault="00000000">
      <w:pPr>
        <w:pStyle w:val="12"/>
        <w:spacing w:after="80" w:line="314" w:lineRule="exact"/>
        <w:ind w:firstLine="420"/>
        <w:rPr>
          <w:color w:val="231F20"/>
          <w:sz w:val="24"/>
          <w:szCs w:val="24"/>
        </w:rPr>
      </w:pPr>
      <w:r>
        <w:rPr>
          <w:color w:val="231F20"/>
          <w:sz w:val="24"/>
          <w:szCs w:val="24"/>
        </w:rPr>
        <w:t>农业农村部会同自然资源部、生态环境部、水利部、国家林草局、中国科学院等有关部门，就土壤三普工作开展深入研究，编制土壤三普工作方案，明确普查的任务与范围、组织形式、方法步骤、技术路线、经费筹措、工作成果与验收、时限要求、保障措施等。</w:t>
      </w:r>
    </w:p>
    <w:p w:rsidR="00405F55" w:rsidRDefault="00000000">
      <w:pPr>
        <w:pStyle w:val="12"/>
        <w:spacing w:after="80" w:line="314" w:lineRule="exact"/>
        <w:ind w:firstLine="420"/>
        <w:rPr>
          <w:color w:val="231F20"/>
          <w:sz w:val="24"/>
          <w:szCs w:val="24"/>
        </w:rPr>
      </w:pPr>
      <w:r>
        <w:rPr>
          <w:color w:val="231F20"/>
          <w:sz w:val="24"/>
          <w:szCs w:val="24"/>
        </w:rPr>
        <w:t>各省依据全国土壤三普工作方案和技术规程规范，结合本省实际，编制土壤普查实施方案，明确组织方式、队伍组建、技术培训、进度安排、质量控制等，报国务院第三次全国土壤普查领导小组办公室（以下简称“全国土壤普查办”）备案。</w:t>
      </w:r>
    </w:p>
    <w:p w:rsidR="00405F55" w:rsidRDefault="00000000">
      <w:pPr>
        <w:pStyle w:val="2"/>
        <w:spacing w:before="0" w:after="0" w:line="360" w:lineRule="auto"/>
        <w:rPr>
          <w:rFonts w:ascii="宋体" w:eastAsia="宋体" w:hAnsi="宋体" w:cs="宋体"/>
          <w:sz w:val="30"/>
          <w:szCs w:val="30"/>
          <w:lang w:eastAsia="zh-CN"/>
        </w:rPr>
      </w:pPr>
      <w:bookmarkStart w:id="78" w:name="_Toc22309"/>
      <w:r>
        <w:rPr>
          <w:rFonts w:ascii="宋体" w:eastAsia="宋体" w:hAnsi="宋体" w:cs="宋体" w:hint="eastAsia"/>
          <w:sz w:val="30"/>
          <w:szCs w:val="30"/>
          <w:lang w:eastAsia="zh-CN"/>
        </w:rPr>
        <w:t>5.2制定技术规范</w:t>
      </w:r>
      <w:bookmarkEnd w:id="78"/>
    </w:p>
    <w:p w:rsidR="00405F55" w:rsidRDefault="00000000">
      <w:pPr>
        <w:pStyle w:val="12"/>
        <w:spacing w:after="80" w:line="314" w:lineRule="exact"/>
        <w:ind w:firstLine="420"/>
        <w:rPr>
          <w:color w:val="231F20"/>
          <w:sz w:val="24"/>
          <w:szCs w:val="24"/>
        </w:rPr>
      </w:pPr>
      <w:r>
        <w:rPr>
          <w:color w:val="231F20"/>
          <w:sz w:val="24"/>
          <w:szCs w:val="24"/>
        </w:rPr>
        <w:t>为保障落实土壤普查的专业性和规范性，全国需统一制定土壤普查的技术规程与规范。</w:t>
      </w:r>
    </w:p>
    <w:p w:rsidR="00405F55" w:rsidRDefault="00000000">
      <w:pPr>
        <w:pStyle w:val="3"/>
        <w:spacing w:before="0" w:after="0" w:line="360" w:lineRule="auto"/>
        <w:rPr>
          <w:rFonts w:ascii="宋体" w:eastAsia="宋体" w:hAnsi="宋体" w:cs="宋体"/>
          <w:sz w:val="24"/>
          <w:lang w:eastAsia="zh-CN"/>
        </w:rPr>
      </w:pPr>
      <w:bookmarkStart w:id="79" w:name="bookmark77"/>
      <w:bookmarkStart w:id="80" w:name="_Toc27901"/>
      <w:r>
        <w:rPr>
          <w:rFonts w:ascii="宋体" w:eastAsia="宋体" w:hAnsi="宋体" w:cs="宋体" w:hint="eastAsia"/>
          <w:sz w:val="24"/>
          <w:lang w:eastAsia="zh-CN"/>
        </w:rPr>
        <w:t>5.2.1制定全国土壤三普专项技术规范</w:t>
      </w:r>
      <w:bookmarkEnd w:id="79"/>
      <w:bookmarkEnd w:id="80"/>
    </w:p>
    <w:p w:rsidR="00405F55" w:rsidRDefault="00000000">
      <w:pPr>
        <w:pStyle w:val="12"/>
        <w:spacing w:after="80" w:line="314" w:lineRule="exact"/>
        <w:ind w:firstLine="420"/>
        <w:rPr>
          <w:color w:val="231F20"/>
          <w:sz w:val="24"/>
          <w:szCs w:val="24"/>
        </w:rPr>
      </w:pPr>
      <w:r>
        <w:rPr>
          <w:color w:val="231F20"/>
          <w:sz w:val="24"/>
          <w:szCs w:val="24"/>
        </w:rPr>
        <w:t>全国土壤普查办负责组织相关科研、教学、农技推广等单位专家，制定土壤三普专</w:t>
      </w:r>
      <w:r>
        <w:rPr>
          <w:color w:val="231F20"/>
          <w:sz w:val="24"/>
          <w:szCs w:val="24"/>
        </w:rPr>
        <w:lastRenderedPageBreak/>
        <w:t>项技术规范,明确普查内容、指标体系、技术方法、技术要求和质量控制等，统一规范土壤普查工作。</w:t>
      </w:r>
    </w:p>
    <w:p w:rsidR="00405F55" w:rsidRDefault="00000000">
      <w:pPr>
        <w:pStyle w:val="12"/>
        <w:spacing w:after="80" w:line="314" w:lineRule="exact"/>
        <w:ind w:firstLine="420"/>
        <w:rPr>
          <w:color w:val="231F20"/>
          <w:sz w:val="24"/>
          <w:szCs w:val="24"/>
        </w:rPr>
      </w:pPr>
      <w:r>
        <w:rPr>
          <w:color w:val="231F20"/>
          <w:sz w:val="24"/>
          <w:szCs w:val="24"/>
        </w:rPr>
        <w:t>土壤三普数据库规范：统一规范土壤普查的工作平台和数据库构建，包括土壤普查平台的结构与功能、数字字典与字段命名、指标阈值、数据库规范等。</w:t>
      </w:r>
    </w:p>
    <w:p w:rsidR="00405F55" w:rsidRDefault="00000000">
      <w:pPr>
        <w:pStyle w:val="12"/>
        <w:spacing w:after="80" w:line="314" w:lineRule="exact"/>
        <w:ind w:firstLine="420"/>
        <w:rPr>
          <w:color w:val="231F20"/>
          <w:sz w:val="24"/>
          <w:szCs w:val="24"/>
        </w:rPr>
      </w:pPr>
      <w:r>
        <w:rPr>
          <w:color w:val="231F20"/>
          <w:sz w:val="24"/>
          <w:szCs w:val="24"/>
        </w:rPr>
        <w:t>土壤三普土壤类型名称校准技术规范：更新土壤类型图，完善全国土壤分类系统，包括按照</w:t>
      </w:r>
      <w:r>
        <w:rPr>
          <w:rFonts w:hint="eastAsia"/>
          <w:color w:val="231F20"/>
          <w:sz w:val="24"/>
          <w:szCs w:val="24"/>
          <w:lang w:val="en-US"/>
        </w:rPr>
        <w:t>《</w:t>
      </w:r>
      <w:r>
        <w:rPr>
          <w:color w:val="231F20"/>
          <w:sz w:val="24"/>
          <w:szCs w:val="24"/>
        </w:rPr>
        <w:t>中国土壤分类及代码</w:t>
      </w:r>
      <w:r>
        <w:rPr>
          <w:rFonts w:hint="eastAsia"/>
          <w:color w:val="231F20"/>
          <w:sz w:val="24"/>
          <w:szCs w:val="24"/>
          <w:lang w:val="en-US"/>
        </w:rPr>
        <w:t>》</w:t>
      </w:r>
      <w:r>
        <w:rPr>
          <w:color w:val="231F20"/>
          <w:sz w:val="24"/>
          <w:szCs w:val="24"/>
          <w:lang w:val="en-US"/>
        </w:rPr>
        <w:t>（GB 17296—2009）</w:t>
      </w:r>
      <w:proofErr w:type="gramStart"/>
      <w:r>
        <w:rPr>
          <w:color w:val="231F20"/>
          <w:sz w:val="24"/>
          <w:szCs w:val="24"/>
        </w:rPr>
        <w:t>规范二普土壤</w:t>
      </w:r>
      <w:proofErr w:type="gramEnd"/>
      <w:r>
        <w:rPr>
          <w:color w:val="231F20"/>
          <w:sz w:val="24"/>
          <w:szCs w:val="24"/>
        </w:rPr>
        <w:t>类型名称，进行高级土壤分类判定和基层土壤分类名称整理和规范，以及土壤类型校核，制定土壤三普的土壤分类暂行方案；结合土壤三普调查与数字土壤类型制图，更新完善土壤分类方案、土壤类型图。</w:t>
      </w:r>
    </w:p>
    <w:p w:rsidR="00405F55" w:rsidRDefault="00000000">
      <w:pPr>
        <w:pStyle w:val="12"/>
        <w:spacing w:after="80" w:line="314" w:lineRule="exact"/>
        <w:ind w:firstLine="420"/>
        <w:rPr>
          <w:color w:val="231F20"/>
          <w:sz w:val="24"/>
          <w:szCs w:val="24"/>
        </w:rPr>
      </w:pPr>
      <w:r>
        <w:rPr>
          <w:color w:val="231F20"/>
          <w:sz w:val="24"/>
          <w:szCs w:val="24"/>
        </w:rPr>
        <w:t>土壤三普工作底图制作与样点布设技术规范:统一规范土壤普查全过程管理和底图制作、样点布设，包括工作底图、样点布设方法、样点校核、样点信息与任务赋值等。</w:t>
      </w:r>
    </w:p>
    <w:p w:rsidR="00405F55" w:rsidRDefault="00000000">
      <w:pPr>
        <w:pStyle w:val="12"/>
        <w:spacing w:after="80" w:line="314" w:lineRule="exact"/>
        <w:ind w:firstLine="420"/>
        <w:rPr>
          <w:color w:val="231F20"/>
          <w:sz w:val="24"/>
          <w:szCs w:val="24"/>
        </w:rPr>
      </w:pPr>
      <w:r>
        <w:rPr>
          <w:color w:val="231F20"/>
          <w:sz w:val="24"/>
          <w:szCs w:val="24"/>
        </w:rPr>
        <w:t>土壤三普外业调查与采样技术规范：统一规范外业土壤相关信息调查与表层样/剖面样的采集,包括外业调查样点的现场确认、样点采集内容方法和工具、土壤剖面挖掘、土壤形态和土壤类型规范</w:t>
      </w:r>
      <w:r>
        <w:rPr>
          <w:color w:val="231F20"/>
          <w:sz w:val="24"/>
          <w:szCs w:val="24"/>
        </w:rPr>
        <w:br/>
        <w:t>性描述及整段剖面采集制作方法、样品保存运转等，以及采样点入户调查相关信息等。</w:t>
      </w:r>
    </w:p>
    <w:p w:rsidR="00405F55" w:rsidRDefault="00000000">
      <w:pPr>
        <w:pStyle w:val="12"/>
        <w:spacing w:after="80" w:line="314" w:lineRule="exact"/>
        <w:ind w:firstLine="420"/>
        <w:rPr>
          <w:color w:val="231F20"/>
          <w:sz w:val="24"/>
          <w:szCs w:val="24"/>
        </w:rPr>
      </w:pPr>
      <w:r>
        <w:rPr>
          <w:color w:val="231F20"/>
          <w:sz w:val="24"/>
          <w:szCs w:val="24"/>
        </w:rPr>
        <w:t>土壤三普土壤样品制备与检测技术规范：统一规范内业测试化验工作，包括土壤样品常规前处理与测试样品留存方法、样品物理、化学测试指标与测试方法选择等。</w:t>
      </w:r>
    </w:p>
    <w:p w:rsidR="00405F55" w:rsidRDefault="00000000">
      <w:pPr>
        <w:pStyle w:val="12"/>
        <w:spacing w:after="80" w:line="314" w:lineRule="exact"/>
        <w:ind w:firstLine="420"/>
        <w:rPr>
          <w:color w:val="231F20"/>
          <w:sz w:val="24"/>
          <w:szCs w:val="24"/>
        </w:rPr>
      </w:pPr>
      <w:r>
        <w:rPr>
          <w:color w:val="231F20"/>
          <w:sz w:val="24"/>
          <w:szCs w:val="24"/>
        </w:rPr>
        <w:t>土壤三普土壤生物调查技术规范：统一规范土壤生物调查工作，包括土壤生物调查样点布设原则、土壤生物样品采集时序与保存运输方法、土壤生物指标与测定方法等。</w:t>
      </w:r>
    </w:p>
    <w:p w:rsidR="00405F55" w:rsidRDefault="00000000">
      <w:pPr>
        <w:pStyle w:val="12"/>
        <w:spacing w:after="80" w:line="314" w:lineRule="exact"/>
        <w:ind w:firstLine="420"/>
        <w:rPr>
          <w:color w:val="231F20"/>
          <w:sz w:val="24"/>
          <w:szCs w:val="24"/>
        </w:rPr>
      </w:pPr>
      <w:r>
        <w:rPr>
          <w:color w:val="231F20"/>
          <w:sz w:val="24"/>
          <w:szCs w:val="24"/>
        </w:rPr>
        <w:t>土壤三普土壤类型图编制技术规范：统一规范土壤类型制图的原则、要求和技术方法等。</w:t>
      </w:r>
    </w:p>
    <w:p w:rsidR="00405F55" w:rsidRDefault="00000000">
      <w:pPr>
        <w:pStyle w:val="12"/>
        <w:spacing w:after="80" w:line="314" w:lineRule="exact"/>
        <w:ind w:firstLine="420"/>
        <w:rPr>
          <w:color w:val="231F20"/>
          <w:sz w:val="24"/>
          <w:szCs w:val="24"/>
        </w:rPr>
      </w:pPr>
      <w:r>
        <w:rPr>
          <w:color w:val="231F20"/>
          <w:sz w:val="24"/>
          <w:szCs w:val="24"/>
        </w:rPr>
        <w:t>土壤三普土壤属性图与专题图编制技术规范：统一规范各种类型成果图的制作，包括集成数字土壤制图模型算法、数字土壤制图模型筛选与验证、相关专题成果图制图方法与表达等。</w:t>
      </w:r>
    </w:p>
    <w:p w:rsidR="00405F55" w:rsidRDefault="00000000">
      <w:pPr>
        <w:pStyle w:val="12"/>
        <w:spacing w:after="80" w:line="314" w:lineRule="exact"/>
        <w:ind w:firstLine="420"/>
        <w:rPr>
          <w:color w:val="231F20"/>
          <w:sz w:val="24"/>
          <w:szCs w:val="24"/>
        </w:rPr>
      </w:pPr>
      <w:r>
        <w:rPr>
          <w:color w:val="231F20"/>
          <w:sz w:val="24"/>
          <w:szCs w:val="24"/>
        </w:rPr>
        <w:t>土壤三普全程质量控制技术规范:包括外业调查采样的布点确定、采样点“电子围栏”航迹管理、样点样品编码溯源、取样工具和样品储运的监督、样品制备和测试化验质量控制方法、调查和检测数据信息审核等，统一规范普查工作质量控制与抽查监督。</w:t>
      </w:r>
    </w:p>
    <w:p w:rsidR="00405F55" w:rsidRDefault="00000000">
      <w:pPr>
        <w:pStyle w:val="3"/>
        <w:spacing w:before="0" w:after="0" w:line="360" w:lineRule="auto"/>
        <w:rPr>
          <w:rFonts w:ascii="宋体" w:eastAsia="宋体" w:hAnsi="宋体" w:cs="宋体"/>
          <w:sz w:val="24"/>
          <w:lang w:eastAsia="zh-CN"/>
        </w:rPr>
      </w:pPr>
      <w:bookmarkStart w:id="81" w:name="bookmark79"/>
      <w:bookmarkStart w:id="82" w:name="_Toc32474"/>
      <w:r>
        <w:rPr>
          <w:rFonts w:ascii="宋体" w:eastAsia="宋体" w:hAnsi="宋体" w:cs="宋体" w:hint="eastAsia"/>
          <w:sz w:val="24"/>
          <w:lang w:eastAsia="zh-CN"/>
        </w:rPr>
        <w:t>5.2.2省级土壤普查操作规范</w:t>
      </w:r>
      <w:bookmarkEnd w:id="81"/>
      <w:bookmarkEnd w:id="82"/>
    </w:p>
    <w:p w:rsidR="00405F55" w:rsidRDefault="00000000">
      <w:pPr>
        <w:pStyle w:val="12"/>
        <w:spacing w:after="80" w:line="314" w:lineRule="exact"/>
        <w:ind w:firstLine="420"/>
        <w:rPr>
          <w:color w:val="231F20"/>
          <w:sz w:val="24"/>
          <w:szCs w:val="24"/>
        </w:rPr>
      </w:pPr>
      <w:r>
        <w:rPr>
          <w:color w:val="231F20"/>
          <w:sz w:val="24"/>
          <w:szCs w:val="24"/>
        </w:rPr>
        <w:t>各省级土壤普查</w:t>
      </w:r>
      <w:proofErr w:type="gramStart"/>
      <w:r>
        <w:rPr>
          <w:color w:val="231F20"/>
          <w:sz w:val="24"/>
          <w:szCs w:val="24"/>
        </w:rPr>
        <w:t>办依据</w:t>
      </w:r>
      <w:proofErr w:type="gramEnd"/>
      <w:r>
        <w:rPr>
          <w:color w:val="231F20"/>
          <w:sz w:val="24"/>
          <w:szCs w:val="24"/>
        </w:rPr>
        <w:t>土壤三</w:t>
      </w:r>
      <w:proofErr w:type="gramStart"/>
      <w:r>
        <w:rPr>
          <w:color w:val="231F20"/>
          <w:sz w:val="24"/>
          <w:szCs w:val="24"/>
        </w:rPr>
        <w:t>普技术</w:t>
      </w:r>
      <w:proofErr w:type="gramEnd"/>
      <w:r>
        <w:rPr>
          <w:color w:val="231F20"/>
          <w:sz w:val="24"/>
          <w:szCs w:val="24"/>
        </w:rPr>
        <w:t>规程规范等，结合本省(区、市)的普查内容和任务，编制本省(区、市)的操作规范。</w:t>
      </w:r>
    </w:p>
    <w:p w:rsidR="00405F55" w:rsidRDefault="00000000">
      <w:pPr>
        <w:pStyle w:val="2"/>
        <w:spacing w:before="0" w:after="0" w:line="360" w:lineRule="auto"/>
        <w:rPr>
          <w:rFonts w:ascii="宋体" w:eastAsia="宋体" w:hAnsi="宋体" w:cs="宋体"/>
          <w:sz w:val="30"/>
          <w:szCs w:val="30"/>
          <w:lang w:eastAsia="zh-CN"/>
        </w:rPr>
      </w:pPr>
      <w:bookmarkStart w:id="83" w:name="_Toc264"/>
      <w:r>
        <w:rPr>
          <w:rFonts w:ascii="宋体" w:eastAsia="宋体" w:hAnsi="宋体" w:cs="宋体" w:hint="eastAsia"/>
          <w:sz w:val="30"/>
          <w:szCs w:val="30"/>
          <w:lang w:eastAsia="zh-CN"/>
        </w:rPr>
        <w:t>5.3筹建土壤三</w:t>
      </w:r>
      <w:proofErr w:type="gramStart"/>
      <w:r>
        <w:rPr>
          <w:rFonts w:ascii="宋体" w:eastAsia="宋体" w:hAnsi="宋体" w:cs="宋体" w:hint="eastAsia"/>
          <w:sz w:val="30"/>
          <w:szCs w:val="30"/>
          <w:lang w:eastAsia="zh-CN"/>
        </w:rPr>
        <w:t>普技术</w:t>
      </w:r>
      <w:proofErr w:type="gramEnd"/>
      <w:r>
        <w:rPr>
          <w:rFonts w:ascii="宋体" w:eastAsia="宋体" w:hAnsi="宋体" w:cs="宋体" w:hint="eastAsia"/>
          <w:sz w:val="30"/>
          <w:szCs w:val="30"/>
          <w:lang w:eastAsia="zh-CN"/>
        </w:rPr>
        <w:t>专家组</w:t>
      </w:r>
      <w:bookmarkEnd w:id="83"/>
    </w:p>
    <w:p w:rsidR="00405F55" w:rsidRDefault="00000000">
      <w:pPr>
        <w:pStyle w:val="12"/>
        <w:spacing w:after="80" w:line="314" w:lineRule="exact"/>
        <w:ind w:firstLine="420"/>
        <w:rPr>
          <w:color w:val="231F20"/>
          <w:sz w:val="24"/>
          <w:szCs w:val="24"/>
        </w:rPr>
      </w:pPr>
      <w:r>
        <w:rPr>
          <w:color w:val="231F20"/>
          <w:sz w:val="24"/>
          <w:szCs w:val="24"/>
        </w:rPr>
        <w:t>全国土壤普查办负责组建第三次全国土壤普查技术专家组，包括咨询组和技术指导组。其中咨询组人员约10人，负责研究解决土壤普查中遇到的重大问题，审定技术规程与技术规范；技术指导组人员约150人，负责普查工作的技术指导、技术培训、质量监控等；组织筛选专业测试化验机构；组织开展土壤物理、化学、生物等指标的测试化验和数据成果汇总分析；根据普查阶段的任务内容，协调推进不同层次技术与方法的培训。</w:t>
      </w:r>
    </w:p>
    <w:p w:rsidR="00405F55" w:rsidRDefault="00000000">
      <w:pPr>
        <w:pStyle w:val="12"/>
        <w:spacing w:after="80" w:line="314" w:lineRule="exact"/>
        <w:ind w:firstLine="420"/>
        <w:rPr>
          <w:color w:val="231F20"/>
          <w:sz w:val="24"/>
          <w:szCs w:val="24"/>
        </w:rPr>
      </w:pPr>
      <w:r>
        <w:rPr>
          <w:color w:val="231F20"/>
          <w:sz w:val="24"/>
          <w:szCs w:val="24"/>
        </w:rPr>
        <w:t>省级土壤普查办负责组建省级土壤三</w:t>
      </w:r>
      <w:proofErr w:type="gramStart"/>
      <w:r>
        <w:rPr>
          <w:color w:val="231F20"/>
          <w:sz w:val="24"/>
          <w:szCs w:val="24"/>
        </w:rPr>
        <w:t>普技术</w:t>
      </w:r>
      <w:proofErr w:type="gramEnd"/>
      <w:r>
        <w:rPr>
          <w:color w:val="231F20"/>
          <w:sz w:val="24"/>
          <w:szCs w:val="24"/>
        </w:rPr>
        <w:t>专家组，根据本省普查任务及其工作量，确定省级专家组的人数；组建各级耕保、农技、林业、草业等机构参与的专业队伍，承担本区域以县级为单位的土壤普查指导工作。</w:t>
      </w:r>
    </w:p>
    <w:p w:rsidR="00405F55" w:rsidRDefault="00000000">
      <w:pPr>
        <w:pStyle w:val="2"/>
        <w:spacing w:before="0" w:after="0" w:line="360" w:lineRule="auto"/>
        <w:rPr>
          <w:rFonts w:ascii="宋体" w:eastAsia="宋体" w:hAnsi="宋体" w:cs="宋体"/>
          <w:sz w:val="30"/>
          <w:szCs w:val="30"/>
          <w:lang w:eastAsia="zh-CN"/>
        </w:rPr>
      </w:pPr>
      <w:bookmarkStart w:id="84" w:name="_Toc32094"/>
      <w:r>
        <w:rPr>
          <w:rFonts w:ascii="宋体" w:eastAsia="宋体" w:hAnsi="宋体" w:cs="宋体" w:hint="eastAsia"/>
          <w:sz w:val="30"/>
          <w:szCs w:val="30"/>
          <w:lang w:eastAsia="zh-CN"/>
        </w:rPr>
        <w:lastRenderedPageBreak/>
        <w:t>5.4编制土壤普查工作经费预算方案</w:t>
      </w:r>
      <w:bookmarkEnd w:id="84"/>
    </w:p>
    <w:p w:rsidR="00405F55" w:rsidRDefault="00000000">
      <w:pPr>
        <w:pStyle w:val="12"/>
        <w:spacing w:after="80" w:line="314" w:lineRule="exact"/>
        <w:ind w:firstLine="420"/>
        <w:rPr>
          <w:color w:val="231F20"/>
          <w:sz w:val="24"/>
          <w:szCs w:val="24"/>
        </w:rPr>
      </w:pPr>
      <w:r>
        <w:rPr>
          <w:color w:val="231F20"/>
          <w:sz w:val="24"/>
          <w:szCs w:val="24"/>
        </w:rPr>
        <w:t>全国土壤普查办和省级土壤普查办按照本级土壤三普的工作任务与进度安排，分级编制中央和省级土壤普查工作经费预算方案，并报送财政部或省财政厅审批立项。</w:t>
      </w:r>
    </w:p>
    <w:p w:rsidR="00405F55" w:rsidRDefault="00000000">
      <w:pPr>
        <w:pStyle w:val="12"/>
        <w:spacing w:after="80" w:line="314" w:lineRule="exact"/>
        <w:ind w:firstLine="420"/>
        <w:rPr>
          <w:color w:val="231F20"/>
          <w:sz w:val="24"/>
          <w:szCs w:val="24"/>
        </w:rPr>
      </w:pPr>
      <w:r>
        <w:rPr>
          <w:color w:val="231F20"/>
          <w:sz w:val="24"/>
          <w:szCs w:val="24"/>
        </w:rPr>
        <w:t>土壤普查的工作经费主要包括土壤普查前期准备、外业调查采样、土壤制图与校核、内业测试化验、技术培训、技术指导、质量控制、土壤数据库与样品库建设、报告编写、成果汇总与验收环节的经费，具体如下。</w:t>
      </w:r>
    </w:p>
    <w:p w:rsidR="00405F55" w:rsidRDefault="00000000">
      <w:pPr>
        <w:pStyle w:val="12"/>
        <w:spacing w:after="80" w:line="314" w:lineRule="exact"/>
        <w:ind w:firstLine="420"/>
        <w:rPr>
          <w:color w:val="231F20"/>
          <w:sz w:val="24"/>
          <w:szCs w:val="24"/>
        </w:rPr>
      </w:pPr>
      <w:r>
        <w:rPr>
          <w:color w:val="231F20"/>
          <w:sz w:val="24"/>
          <w:szCs w:val="24"/>
        </w:rPr>
        <w:t>(1)土壤普查前期准备的经费包括普查工作平台的研发与4年系统维护、技术规程规范编制、工作底图与样点布设方案、外业调查采样设备与试剂耗材等。</w:t>
      </w:r>
    </w:p>
    <w:p w:rsidR="00405F55" w:rsidRDefault="00000000">
      <w:pPr>
        <w:pStyle w:val="12"/>
        <w:spacing w:after="80" w:line="314" w:lineRule="exact"/>
        <w:ind w:firstLine="420"/>
        <w:rPr>
          <w:color w:val="231F20"/>
          <w:sz w:val="24"/>
          <w:szCs w:val="24"/>
        </w:rPr>
      </w:pPr>
      <w:r>
        <w:rPr>
          <w:color w:val="231F20"/>
          <w:sz w:val="24"/>
          <w:szCs w:val="24"/>
        </w:rPr>
        <w:t>(2)外业调查采样经费包括表层</w:t>
      </w:r>
      <w:proofErr w:type="gramStart"/>
      <w:r>
        <w:rPr>
          <w:color w:val="231F20"/>
          <w:sz w:val="24"/>
          <w:szCs w:val="24"/>
        </w:rPr>
        <w:t>样调查</w:t>
      </w:r>
      <w:proofErr w:type="gramEnd"/>
      <w:r>
        <w:rPr>
          <w:color w:val="231F20"/>
          <w:sz w:val="24"/>
          <w:szCs w:val="24"/>
        </w:rPr>
        <w:t>采样与运输、剖面</w:t>
      </w:r>
      <w:proofErr w:type="gramStart"/>
      <w:r>
        <w:rPr>
          <w:color w:val="231F20"/>
          <w:sz w:val="24"/>
          <w:szCs w:val="24"/>
        </w:rPr>
        <w:t>样调查</w:t>
      </w:r>
      <w:proofErr w:type="gramEnd"/>
      <w:r>
        <w:rPr>
          <w:color w:val="231F20"/>
          <w:sz w:val="24"/>
          <w:szCs w:val="24"/>
        </w:rPr>
        <w:t>采样与运输(含整段剖面标本和分段纸盒标本等)、样品制备与分发等工作经费。</w:t>
      </w:r>
    </w:p>
    <w:p w:rsidR="00405F55" w:rsidRDefault="00000000">
      <w:pPr>
        <w:pStyle w:val="12"/>
        <w:spacing w:after="80" w:line="314" w:lineRule="exact"/>
        <w:ind w:firstLine="420"/>
        <w:rPr>
          <w:color w:val="231F20"/>
          <w:sz w:val="24"/>
          <w:szCs w:val="24"/>
        </w:rPr>
      </w:pPr>
      <w:r>
        <w:rPr>
          <w:color w:val="231F20"/>
          <w:sz w:val="24"/>
          <w:szCs w:val="24"/>
        </w:rPr>
        <w:t>(3)土壤制图与校核经费包括土壤制图室内流程和野外实地校核工作经费。</w:t>
      </w:r>
    </w:p>
    <w:p w:rsidR="00405F55" w:rsidRDefault="00000000">
      <w:pPr>
        <w:pStyle w:val="12"/>
        <w:spacing w:after="80" w:line="314" w:lineRule="exact"/>
        <w:ind w:firstLine="420"/>
        <w:rPr>
          <w:color w:val="231F20"/>
          <w:sz w:val="24"/>
          <w:szCs w:val="24"/>
        </w:rPr>
      </w:pPr>
      <w:r>
        <w:rPr>
          <w:color w:val="231F20"/>
          <w:sz w:val="24"/>
          <w:szCs w:val="24"/>
        </w:rPr>
        <w:t>(4)内业测试化验经费包括土壤物理指标、土壤化学指标(含重金属全量)、土壤生物(土壤微生物或土壤动物)指标①的测试。</w:t>
      </w:r>
    </w:p>
    <w:p w:rsidR="00405F55" w:rsidRDefault="00000000">
      <w:pPr>
        <w:pStyle w:val="12"/>
        <w:spacing w:after="80" w:line="314" w:lineRule="exact"/>
        <w:ind w:firstLine="420"/>
        <w:rPr>
          <w:color w:val="231F20"/>
          <w:sz w:val="24"/>
          <w:szCs w:val="24"/>
        </w:rPr>
      </w:pPr>
      <w:r>
        <w:rPr>
          <w:color w:val="231F20"/>
          <w:sz w:val="24"/>
          <w:szCs w:val="24"/>
        </w:rPr>
        <w:t>(5)技术培训经费包括土壤三</w:t>
      </w:r>
      <w:proofErr w:type="gramStart"/>
      <w:r>
        <w:rPr>
          <w:color w:val="231F20"/>
          <w:sz w:val="24"/>
          <w:szCs w:val="24"/>
        </w:rPr>
        <w:t>普技术</w:t>
      </w:r>
      <w:proofErr w:type="gramEnd"/>
      <w:r>
        <w:rPr>
          <w:color w:val="231F20"/>
          <w:sz w:val="24"/>
          <w:szCs w:val="24"/>
        </w:rPr>
        <w:t>及管理人员等培训，制作普查工作网络课件等。</w:t>
      </w:r>
    </w:p>
    <w:p w:rsidR="00405F55" w:rsidRDefault="00000000">
      <w:pPr>
        <w:pStyle w:val="12"/>
        <w:spacing w:after="80" w:line="314" w:lineRule="exact"/>
        <w:ind w:firstLine="420"/>
        <w:rPr>
          <w:color w:val="231F20"/>
          <w:sz w:val="24"/>
          <w:szCs w:val="24"/>
        </w:rPr>
      </w:pPr>
      <w:r>
        <w:rPr>
          <w:color w:val="231F20"/>
          <w:sz w:val="24"/>
          <w:szCs w:val="24"/>
        </w:rPr>
        <w:t>(6)技术指导经费包括土壤三</w:t>
      </w:r>
      <w:proofErr w:type="gramStart"/>
      <w:r>
        <w:rPr>
          <w:color w:val="231F20"/>
          <w:sz w:val="24"/>
          <w:szCs w:val="24"/>
        </w:rPr>
        <w:t>普专家</w:t>
      </w:r>
      <w:proofErr w:type="gramEnd"/>
      <w:r>
        <w:rPr>
          <w:color w:val="231F20"/>
          <w:sz w:val="24"/>
          <w:szCs w:val="24"/>
        </w:rPr>
        <w:t>组开展外业调查采样、内业测试分析、数据成果汇总、成果图件制作、质量控制等环节技术指导服务以及土壤普查办的工作经费。</w:t>
      </w:r>
    </w:p>
    <w:p w:rsidR="00405F55" w:rsidRDefault="00000000">
      <w:pPr>
        <w:pStyle w:val="12"/>
        <w:spacing w:after="80" w:line="314" w:lineRule="exact"/>
        <w:ind w:firstLine="420"/>
        <w:rPr>
          <w:color w:val="231F20"/>
          <w:sz w:val="24"/>
          <w:szCs w:val="24"/>
        </w:rPr>
      </w:pPr>
      <w:r>
        <w:rPr>
          <w:color w:val="231F20"/>
          <w:sz w:val="24"/>
          <w:szCs w:val="24"/>
        </w:rPr>
        <w:t>①土壤生物调查，仅限于国家层面组织实施与经费预算，省级没有硬性预算要求。</w:t>
      </w:r>
    </w:p>
    <w:p w:rsidR="00405F55" w:rsidRDefault="00000000">
      <w:pPr>
        <w:pStyle w:val="12"/>
        <w:spacing w:after="80" w:line="314" w:lineRule="exact"/>
        <w:ind w:firstLine="420"/>
        <w:rPr>
          <w:color w:val="231F20"/>
          <w:sz w:val="24"/>
          <w:szCs w:val="24"/>
        </w:rPr>
      </w:pPr>
      <w:r>
        <w:rPr>
          <w:color w:val="231F20"/>
          <w:sz w:val="24"/>
          <w:szCs w:val="24"/>
        </w:rPr>
        <w:t>（7）质量控制经费包括外业调查采样与内业测试化验的质量抽核，以及数据精准度审核等工作经费。</w:t>
      </w:r>
    </w:p>
    <w:p w:rsidR="00405F55" w:rsidRDefault="00000000">
      <w:pPr>
        <w:pStyle w:val="12"/>
        <w:spacing w:after="80" w:line="314" w:lineRule="exact"/>
        <w:ind w:firstLine="420"/>
        <w:rPr>
          <w:color w:val="231F20"/>
          <w:sz w:val="24"/>
          <w:szCs w:val="24"/>
        </w:rPr>
      </w:pPr>
      <w:r>
        <w:rPr>
          <w:color w:val="231F20"/>
          <w:sz w:val="24"/>
          <w:szCs w:val="24"/>
        </w:rPr>
        <w:t>（8）土壤数据库建设包括数据库平台、保密机房设备、数据存储服务器、</w:t>
      </w:r>
      <w:r>
        <w:rPr>
          <w:color w:val="231F20"/>
          <w:sz w:val="24"/>
          <w:szCs w:val="24"/>
          <w:lang w:val="en-US"/>
        </w:rPr>
        <w:t>GIS</w:t>
      </w:r>
      <w:r>
        <w:rPr>
          <w:color w:val="231F20"/>
          <w:sz w:val="24"/>
          <w:szCs w:val="24"/>
        </w:rPr>
        <w:t>软件防火墙和等安全设备。</w:t>
      </w:r>
    </w:p>
    <w:p w:rsidR="00405F55" w:rsidRDefault="00000000">
      <w:pPr>
        <w:pStyle w:val="12"/>
        <w:spacing w:after="80" w:line="314" w:lineRule="exact"/>
        <w:ind w:firstLine="420"/>
        <w:rPr>
          <w:color w:val="231F20"/>
          <w:sz w:val="24"/>
          <w:szCs w:val="24"/>
        </w:rPr>
      </w:pPr>
      <w:r>
        <w:rPr>
          <w:color w:val="231F20"/>
          <w:sz w:val="24"/>
          <w:szCs w:val="24"/>
        </w:rPr>
        <w:t>（9）土壤样品库建设包括剖面整段标本、剖面分段纸盒标本与样品、表层土壤样品的制作与保存费用。</w:t>
      </w:r>
    </w:p>
    <w:p w:rsidR="00405F55" w:rsidRDefault="00000000">
      <w:pPr>
        <w:pStyle w:val="12"/>
        <w:spacing w:after="80" w:line="314" w:lineRule="exact"/>
        <w:ind w:firstLine="420"/>
        <w:rPr>
          <w:color w:val="231F20"/>
          <w:sz w:val="24"/>
          <w:szCs w:val="24"/>
        </w:rPr>
      </w:pPr>
      <w:r>
        <w:rPr>
          <w:color w:val="231F20"/>
          <w:sz w:val="24"/>
          <w:szCs w:val="24"/>
        </w:rPr>
        <w:t>（10）成果汇总与验收经费包括数据校验与分析、土壤制图、文字报告编写，以及成果验收等工作经费。</w:t>
      </w:r>
    </w:p>
    <w:p w:rsidR="00405F55" w:rsidRDefault="00000000">
      <w:pPr>
        <w:pStyle w:val="2"/>
        <w:spacing w:before="0" w:after="0" w:line="360" w:lineRule="auto"/>
        <w:rPr>
          <w:rFonts w:ascii="宋体" w:eastAsia="宋体" w:hAnsi="宋体" w:cs="宋体"/>
          <w:sz w:val="30"/>
          <w:szCs w:val="30"/>
          <w:lang w:eastAsia="zh-CN"/>
        </w:rPr>
      </w:pPr>
      <w:bookmarkStart w:id="85" w:name="_Toc16681"/>
      <w:r>
        <w:rPr>
          <w:rFonts w:ascii="宋体" w:eastAsia="宋体" w:hAnsi="宋体" w:cs="宋体" w:hint="eastAsia"/>
          <w:sz w:val="30"/>
          <w:szCs w:val="30"/>
          <w:lang w:eastAsia="zh-CN"/>
        </w:rPr>
        <w:t>5.5筛选测试化验实验室</w:t>
      </w:r>
      <w:bookmarkEnd w:id="85"/>
    </w:p>
    <w:p w:rsidR="00405F55" w:rsidRDefault="00000000">
      <w:pPr>
        <w:pStyle w:val="12"/>
        <w:spacing w:after="80" w:line="314" w:lineRule="exact"/>
        <w:ind w:firstLine="420"/>
        <w:rPr>
          <w:color w:val="231F20"/>
          <w:sz w:val="24"/>
          <w:szCs w:val="24"/>
        </w:rPr>
      </w:pPr>
      <w:r>
        <w:rPr>
          <w:color w:val="231F20"/>
          <w:sz w:val="24"/>
          <w:szCs w:val="24"/>
        </w:rPr>
        <w:t>全国土壤普查办负责制定筛选土壤三普检测实验室和质量控制实验室技术能力审核工作的规范，明确申请检测实验室和质量控制实验室的准入标准及筛选评审程序，以及制定土壤三普检测实验室和质量控制实验室管理办法。</w:t>
      </w:r>
    </w:p>
    <w:p w:rsidR="00405F55" w:rsidRDefault="00000000">
      <w:pPr>
        <w:pStyle w:val="3"/>
        <w:spacing w:before="0" w:after="0" w:line="360" w:lineRule="auto"/>
        <w:rPr>
          <w:rFonts w:ascii="宋体" w:eastAsia="宋体" w:hAnsi="宋体" w:cs="宋体"/>
          <w:sz w:val="24"/>
          <w:lang w:eastAsia="zh-CN"/>
        </w:rPr>
      </w:pPr>
      <w:bookmarkStart w:id="86" w:name="bookmark87"/>
      <w:bookmarkStart w:id="87" w:name="_Toc18199"/>
      <w:r>
        <w:rPr>
          <w:rFonts w:ascii="宋体" w:eastAsia="宋体" w:hAnsi="宋体" w:cs="宋体" w:hint="eastAsia"/>
          <w:sz w:val="24"/>
          <w:lang w:eastAsia="zh-CN"/>
        </w:rPr>
        <w:t>5.5.1检测实验室</w:t>
      </w:r>
      <w:bookmarkEnd w:id="86"/>
      <w:bookmarkEnd w:id="87"/>
    </w:p>
    <w:p w:rsidR="00405F55" w:rsidRDefault="00000000">
      <w:pPr>
        <w:pStyle w:val="12"/>
        <w:spacing w:after="80" w:line="314" w:lineRule="exact"/>
        <w:ind w:firstLine="420"/>
        <w:rPr>
          <w:color w:val="231F20"/>
          <w:sz w:val="24"/>
          <w:szCs w:val="24"/>
        </w:rPr>
      </w:pPr>
      <w:r>
        <w:rPr>
          <w:color w:val="231F20"/>
          <w:sz w:val="24"/>
          <w:szCs w:val="24"/>
        </w:rPr>
        <w:t>各省级土壤普查办，负责从科研教育、第三方检测等机构中，按照检测实验室的组织管理、检测能力、能力验证考核、检测人员、设施环境、仪器设备、工作业绩、违法违规不良信用记录等准入条件，初步筛选出检测实验室，原则上每个省（区、市）初步筛选出的检测实验室数量不超过30家，并将初步筛选评审确定的检测实验室、相关申请材料和评审材料上报全国土壤普查办。</w:t>
      </w:r>
    </w:p>
    <w:p w:rsidR="00405F55" w:rsidRDefault="00000000">
      <w:pPr>
        <w:pStyle w:val="12"/>
        <w:spacing w:after="80" w:line="314" w:lineRule="exact"/>
        <w:ind w:firstLine="420"/>
        <w:rPr>
          <w:color w:val="231F20"/>
          <w:sz w:val="24"/>
          <w:szCs w:val="24"/>
        </w:rPr>
      </w:pPr>
      <w:r>
        <w:rPr>
          <w:color w:val="231F20"/>
          <w:sz w:val="24"/>
          <w:szCs w:val="24"/>
        </w:rPr>
        <w:t>全国土壤普查办牵头对各省（区、市）推荐的检测实验室组织专家对检测实验室技术能力进行复核，并发布第三次全国土壤普查检测实验室名录，供各省（区、市）在土壤三普工作中参考选用检测实验室；各省（区、市）在土壤三普工作中，可以选用推荐</w:t>
      </w:r>
      <w:r>
        <w:rPr>
          <w:color w:val="231F20"/>
          <w:sz w:val="24"/>
          <w:szCs w:val="24"/>
        </w:rPr>
        <w:lastRenderedPageBreak/>
        <w:t>名录中非本行政区域内的检测实验室。</w:t>
      </w:r>
    </w:p>
    <w:p w:rsidR="00405F55" w:rsidRDefault="00000000">
      <w:pPr>
        <w:pStyle w:val="3"/>
        <w:spacing w:before="0" w:after="0" w:line="360" w:lineRule="auto"/>
        <w:rPr>
          <w:rFonts w:ascii="宋体" w:eastAsia="宋体" w:hAnsi="宋体" w:cs="宋体"/>
          <w:sz w:val="24"/>
          <w:lang w:eastAsia="zh-CN"/>
        </w:rPr>
      </w:pPr>
      <w:bookmarkStart w:id="88" w:name="bookmark89"/>
      <w:bookmarkStart w:id="89" w:name="_Toc3664"/>
      <w:r>
        <w:rPr>
          <w:rFonts w:ascii="宋体" w:eastAsia="宋体" w:hAnsi="宋体" w:cs="宋体" w:hint="eastAsia"/>
          <w:sz w:val="24"/>
          <w:lang w:eastAsia="zh-CN"/>
        </w:rPr>
        <w:t>5.5.2质量控制实验室</w:t>
      </w:r>
      <w:bookmarkEnd w:id="88"/>
      <w:bookmarkEnd w:id="89"/>
    </w:p>
    <w:p w:rsidR="00405F55" w:rsidRDefault="00000000">
      <w:pPr>
        <w:pStyle w:val="12"/>
        <w:spacing w:after="80" w:line="314" w:lineRule="exact"/>
        <w:ind w:firstLine="420"/>
        <w:rPr>
          <w:color w:val="231F20"/>
          <w:sz w:val="24"/>
          <w:szCs w:val="24"/>
        </w:rPr>
      </w:pPr>
      <w:r>
        <w:rPr>
          <w:color w:val="231F20"/>
          <w:sz w:val="24"/>
          <w:szCs w:val="24"/>
        </w:rPr>
        <w:t>国家级质量控制实验室由全国土壤普查办组织专家，评审筛选出8~10家国家级质量控制实验室。</w:t>
      </w:r>
    </w:p>
    <w:p w:rsidR="00405F55" w:rsidRDefault="00000000">
      <w:pPr>
        <w:pStyle w:val="12"/>
        <w:spacing w:after="80" w:line="314" w:lineRule="exact"/>
        <w:ind w:firstLine="420"/>
        <w:rPr>
          <w:color w:val="231F20"/>
          <w:sz w:val="24"/>
          <w:szCs w:val="24"/>
        </w:rPr>
      </w:pPr>
      <w:r>
        <w:rPr>
          <w:color w:val="231F20"/>
          <w:sz w:val="24"/>
          <w:szCs w:val="24"/>
        </w:rPr>
        <w:t>省级质量控制实验室原则上由各省级土壤普查办选定，每省级质量控制实验室2~3家，并报全国土壤普查办备案。</w:t>
      </w:r>
    </w:p>
    <w:p w:rsidR="00405F55" w:rsidRDefault="00000000">
      <w:pPr>
        <w:pStyle w:val="2"/>
        <w:spacing w:before="0" w:after="0" w:line="360" w:lineRule="auto"/>
        <w:rPr>
          <w:rFonts w:ascii="宋体" w:eastAsia="宋体" w:hAnsi="宋体" w:cs="宋体"/>
          <w:sz w:val="30"/>
          <w:szCs w:val="30"/>
          <w:lang w:eastAsia="zh-CN"/>
        </w:rPr>
      </w:pPr>
      <w:bookmarkStart w:id="90" w:name="_Toc1735"/>
      <w:r>
        <w:rPr>
          <w:rFonts w:ascii="宋体" w:eastAsia="宋体" w:hAnsi="宋体" w:cs="宋体" w:hint="eastAsia"/>
          <w:sz w:val="30"/>
          <w:szCs w:val="30"/>
          <w:lang w:eastAsia="zh-CN"/>
        </w:rPr>
        <w:t>5.6数据安全与保密规定</w:t>
      </w:r>
      <w:bookmarkEnd w:id="90"/>
    </w:p>
    <w:p w:rsidR="00405F55" w:rsidRDefault="00000000">
      <w:pPr>
        <w:pStyle w:val="12"/>
        <w:spacing w:after="80" w:line="314" w:lineRule="exact"/>
        <w:ind w:firstLine="420"/>
        <w:rPr>
          <w:color w:val="231F20"/>
          <w:sz w:val="24"/>
          <w:szCs w:val="24"/>
        </w:rPr>
      </w:pPr>
      <w:r>
        <w:rPr>
          <w:color w:val="231F20"/>
          <w:sz w:val="24"/>
          <w:szCs w:val="24"/>
        </w:rPr>
        <w:t>严格执行国家信息安全制度，使用国产硬件软件和定位系统，实行数据加密传输、数据库等级保护和数据使用权限管理等，建立普查工作保密责任制。</w:t>
      </w:r>
    </w:p>
    <w:p w:rsidR="00405F55" w:rsidRDefault="00000000">
      <w:pPr>
        <w:pStyle w:val="3"/>
        <w:spacing w:before="0" w:after="0" w:line="360" w:lineRule="auto"/>
        <w:rPr>
          <w:rFonts w:ascii="宋体" w:eastAsia="宋体" w:hAnsi="宋体" w:cs="宋体"/>
          <w:sz w:val="24"/>
          <w:lang w:eastAsia="zh-CN"/>
        </w:rPr>
      </w:pPr>
      <w:bookmarkStart w:id="91" w:name="bookmark93"/>
      <w:bookmarkStart w:id="92" w:name="_Toc26475"/>
      <w:r>
        <w:rPr>
          <w:rFonts w:ascii="宋体" w:eastAsia="宋体" w:hAnsi="宋体" w:cs="宋体" w:hint="eastAsia"/>
          <w:sz w:val="24"/>
          <w:lang w:eastAsia="zh-CN"/>
        </w:rPr>
        <w:t>5.6.1数据安全存储与传输</w:t>
      </w:r>
      <w:bookmarkEnd w:id="91"/>
      <w:bookmarkEnd w:id="92"/>
    </w:p>
    <w:p w:rsidR="00405F55" w:rsidRDefault="00000000">
      <w:pPr>
        <w:pStyle w:val="12"/>
        <w:spacing w:after="80" w:line="314" w:lineRule="exact"/>
        <w:ind w:firstLine="420"/>
        <w:rPr>
          <w:color w:val="231F20"/>
          <w:sz w:val="24"/>
          <w:szCs w:val="24"/>
        </w:rPr>
      </w:pPr>
      <w:r>
        <w:rPr>
          <w:color w:val="231F20"/>
          <w:sz w:val="24"/>
          <w:szCs w:val="24"/>
        </w:rPr>
        <w:t>建立全流程数据安全管理制度，采用现代密码等算法进行数据传输与存储过程中的主动保护，并进行数据容灾备份等，加强数据分类分级管理。</w:t>
      </w:r>
    </w:p>
    <w:p w:rsidR="00405F55" w:rsidRDefault="00000000">
      <w:pPr>
        <w:pStyle w:val="3"/>
        <w:spacing w:before="0" w:after="0" w:line="360" w:lineRule="auto"/>
        <w:rPr>
          <w:rFonts w:ascii="宋体" w:eastAsia="宋体" w:hAnsi="宋体" w:cs="宋体"/>
          <w:sz w:val="24"/>
          <w:lang w:eastAsia="zh-CN"/>
        </w:rPr>
      </w:pPr>
      <w:bookmarkStart w:id="93" w:name="bookmark95"/>
      <w:bookmarkStart w:id="94" w:name="_Toc2582"/>
      <w:r>
        <w:rPr>
          <w:rFonts w:ascii="宋体" w:eastAsia="宋体" w:hAnsi="宋体" w:cs="宋体" w:hint="eastAsia"/>
          <w:sz w:val="24"/>
          <w:lang w:eastAsia="zh-CN"/>
        </w:rPr>
        <w:t>5.6.2数据使用保密机制</w:t>
      </w:r>
      <w:bookmarkEnd w:id="93"/>
      <w:bookmarkEnd w:id="94"/>
    </w:p>
    <w:p w:rsidR="00405F55" w:rsidRDefault="00000000">
      <w:pPr>
        <w:pStyle w:val="12"/>
        <w:spacing w:after="80" w:line="314" w:lineRule="exact"/>
        <w:ind w:firstLine="420"/>
        <w:rPr>
          <w:color w:val="231F20"/>
          <w:sz w:val="24"/>
          <w:szCs w:val="24"/>
        </w:rPr>
      </w:pPr>
      <w:r>
        <w:rPr>
          <w:color w:val="231F20"/>
          <w:sz w:val="24"/>
          <w:szCs w:val="24"/>
        </w:rPr>
        <w:t>参与调查、测试与数据汇总等土壤普查各环节的人员，需要签订数据保密承诺协议。</w:t>
      </w:r>
    </w:p>
    <w:p w:rsidR="00405F55" w:rsidRDefault="00000000">
      <w:pPr>
        <w:pStyle w:val="3"/>
        <w:spacing w:before="0" w:after="0" w:line="360" w:lineRule="auto"/>
        <w:rPr>
          <w:rFonts w:ascii="宋体" w:eastAsia="宋体" w:hAnsi="宋体" w:cs="宋体"/>
          <w:sz w:val="24"/>
          <w:lang w:eastAsia="zh-CN"/>
        </w:rPr>
      </w:pPr>
      <w:bookmarkStart w:id="95" w:name="bookmark97"/>
      <w:bookmarkStart w:id="96" w:name="_Toc11332"/>
      <w:r>
        <w:rPr>
          <w:rFonts w:ascii="宋体" w:eastAsia="宋体" w:hAnsi="宋体" w:cs="宋体" w:hint="eastAsia"/>
          <w:sz w:val="24"/>
          <w:lang w:eastAsia="zh-CN"/>
        </w:rPr>
        <w:t>5.6.3数据使用权限管理</w:t>
      </w:r>
      <w:bookmarkEnd w:id="95"/>
      <w:bookmarkEnd w:id="96"/>
    </w:p>
    <w:p w:rsidR="00405F55" w:rsidRDefault="00000000">
      <w:pPr>
        <w:pStyle w:val="12"/>
        <w:spacing w:after="80" w:line="314" w:lineRule="exact"/>
        <w:ind w:firstLine="420"/>
        <w:rPr>
          <w:color w:val="231F20"/>
          <w:sz w:val="24"/>
          <w:szCs w:val="24"/>
        </w:rPr>
      </w:pPr>
      <w:r>
        <w:rPr>
          <w:color w:val="231F20"/>
          <w:sz w:val="24"/>
          <w:szCs w:val="24"/>
        </w:rPr>
        <w:t>参与数据审核、校验与汇总的国家级、</w:t>
      </w:r>
      <w:proofErr w:type="gramStart"/>
      <w:r>
        <w:rPr>
          <w:color w:val="231F20"/>
          <w:sz w:val="24"/>
          <w:szCs w:val="24"/>
        </w:rPr>
        <w:t>省级等</w:t>
      </w:r>
      <w:proofErr w:type="gramEnd"/>
      <w:r>
        <w:rPr>
          <w:color w:val="231F20"/>
          <w:sz w:val="24"/>
          <w:szCs w:val="24"/>
        </w:rPr>
        <w:t>专家，需给予一定数据使用权限，进入数据库系统，便于开展数据浏览、审核等工作。</w:t>
      </w:r>
    </w:p>
    <w:p w:rsidR="00405F55" w:rsidRDefault="00000000">
      <w:pPr>
        <w:pStyle w:val="3"/>
        <w:spacing w:before="0" w:after="0" w:line="360" w:lineRule="auto"/>
        <w:rPr>
          <w:rFonts w:ascii="宋体" w:eastAsia="宋体" w:hAnsi="宋体" w:cs="宋体"/>
          <w:sz w:val="24"/>
          <w:lang w:eastAsia="zh-CN"/>
        </w:rPr>
      </w:pPr>
      <w:bookmarkStart w:id="97" w:name="bookmark99"/>
      <w:bookmarkStart w:id="98" w:name="_Toc24409"/>
      <w:r>
        <w:rPr>
          <w:rFonts w:ascii="宋体" w:eastAsia="宋体" w:hAnsi="宋体" w:cs="宋体" w:hint="eastAsia"/>
          <w:sz w:val="24"/>
          <w:lang w:eastAsia="zh-CN"/>
        </w:rPr>
        <w:t>5.6.4数据发表与公开</w:t>
      </w:r>
      <w:bookmarkEnd w:id="97"/>
      <w:bookmarkEnd w:id="98"/>
    </w:p>
    <w:p w:rsidR="00405F55" w:rsidRDefault="00000000">
      <w:pPr>
        <w:pStyle w:val="12"/>
        <w:spacing w:line="317" w:lineRule="exact"/>
        <w:ind w:firstLine="440"/>
      </w:pPr>
      <w:r>
        <w:rPr>
          <w:color w:val="231F20"/>
          <w:sz w:val="24"/>
          <w:szCs w:val="24"/>
        </w:rPr>
        <w:t>土壤普查数据发表与公开由各级土壤普查办负责。在土壤普查结果公布前，区域（如县级或以上行政级）面上普查数据不得公开。</w:t>
      </w:r>
    </w:p>
    <w:p w:rsidR="00405F55" w:rsidRDefault="00000000">
      <w:pPr>
        <w:pStyle w:val="1"/>
        <w:spacing w:before="0" w:after="0" w:line="360" w:lineRule="auto"/>
        <w:rPr>
          <w:rFonts w:ascii="微软雅黑" w:eastAsia="微软雅黑" w:hAnsi="微软雅黑" w:cs="微软雅黑"/>
          <w:sz w:val="32"/>
          <w:szCs w:val="32"/>
          <w:lang w:eastAsia="zh-CN"/>
        </w:rPr>
      </w:pPr>
      <w:bookmarkStart w:id="99" w:name="_Toc4270"/>
      <w:r>
        <w:rPr>
          <w:rFonts w:ascii="微软雅黑" w:eastAsia="微软雅黑" w:hAnsi="微软雅黑" w:cs="微软雅黑" w:hint="eastAsia"/>
          <w:sz w:val="32"/>
          <w:szCs w:val="32"/>
          <w:lang w:eastAsia="zh-CN"/>
        </w:rPr>
        <w:t>6 土壤普查工作平台</w:t>
      </w:r>
      <w:bookmarkEnd w:id="99"/>
    </w:p>
    <w:p w:rsidR="00405F55" w:rsidRDefault="00000000">
      <w:pPr>
        <w:pStyle w:val="12"/>
        <w:spacing w:line="317" w:lineRule="exact"/>
        <w:ind w:firstLine="440"/>
        <w:rPr>
          <w:color w:val="231F20"/>
          <w:sz w:val="24"/>
          <w:szCs w:val="24"/>
        </w:rPr>
      </w:pPr>
      <w:r>
        <w:rPr>
          <w:color w:val="231F20"/>
          <w:sz w:val="24"/>
          <w:szCs w:val="24"/>
        </w:rPr>
        <w:t>为提高土壤普查的工作质量与效率，全国土壤普查办组织统一建设土壤三普的工作底图、数据库、工作平台系统。</w:t>
      </w:r>
    </w:p>
    <w:p w:rsidR="00405F55" w:rsidRDefault="00000000">
      <w:pPr>
        <w:pStyle w:val="2"/>
        <w:spacing w:before="0" w:after="0" w:line="360" w:lineRule="auto"/>
        <w:rPr>
          <w:rFonts w:ascii="宋体" w:eastAsia="宋体" w:hAnsi="宋体" w:cs="宋体"/>
          <w:sz w:val="30"/>
          <w:szCs w:val="30"/>
          <w:lang w:eastAsia="zh-CN"/>
        </w:rPr>
      </w:pPr>
      <w:bookmarkStart w:id="100" w:name="_Toc5797"/>
      <w:r>
        <w:rPr>
          <w:rFonts w:ascii="宋体" w:eastAsia="宋体" w:hAnsi="宋体" w:cs="宋体" w:hint="eastAsia"/>
          <w:sz w:val="30"/>
          <w:szCs w:val="30"/>
          <w:lang w:eastAsia="zh-CN"/>
        </w:rPr>
        <w:t>6.1制作土壤普查工作底图</w:t>
      </w:r>
      <w:bookmarkEnd w:id="100"/>
    </w:p>
    <w:p w:rsidR="00405F55" w:rsidRDefault="00000000">
      <w:pPr>
        <w:pStyle w:val="12"/>
        <w:spacing w:line="317" w:lineRule="exact"/>
        <w:ind w:firstLine="440"/>
        <w:rPr>
          <w:color w:val="231F20"/>
          <w:sz w:val="24"/>
          <w:szCs w:val="24"/>
        </w:rPr>
      </w:pPr>
      <w:r>
        <w:rPr>
          <w:color w:val="231F20"/>
          <w:sz w:val="24"/>
          <w:szCs w:val="24"/>
        </w:rPr>
        <w:t>全国土壤普查办制作工作底图后，分发给各省级土壤普查办，作为各省、各县土壤三普工作的底图。</w:t>
      </w:r>
    </w:p>
    <w:p w:rsidR="00405F55" w:rsidRDefault="00000000">
      <w:pPr>
        <w:pStyle w:val="3"/>
        <w:spacing w:before="0" w:after="0" w:line="360" w:lineRule="auto"/>
        <w:rPr>
          <w:rFonts w:ascii="宋体" w:eastAsia="宋体" w:hAnsi="宋体" w:cs="宋体"/>
          <w:sz w:val="24"/>
          <w:lang w:eastAsia="zh-CN"/>
        </w:rPr>
      </w:pPr>
      <w:bookmarkStart w:id="101" w:name="bookmark105"/>
      <w:bookmarkStart w:id="102" w:name="_Toc2505"/>
      <w:r>
        <w:rPr>
          <w:rFonts w:ascii="宋体" w:eastAsia="宋体" w:hAnsi="宋体" w:cs="宋体" w:hint="eastAsia"/>
          <w:sz w:val="24"/>
          <w:lang w:eastAsia="zh-CN"/>
        </w:rPr>
        <w:t>6.1.1图件等资料收集整理</w:t>
      </w:r>
      <w:bookmarkEnd w:id="101"/>
      <w:bookmarkEnd w:id="102"/>
    </w:p>
    <w:p w:rsidR="00405F55" w:rsidRDefault="00000000">
      <w:pPr>
        <w:pStyle w:val="12"/>
        <w:spacing w:line="317" w:lineRule="exact"/>
        <w:ind w:firstLine="440"/>
        <w:rPr>
          <w:color w:val="231F20"/>
          <w:sz w:val="24"/>
          <w:szCs w:val="24"/>
        </w:rPr>
      </w:pPr>
      <w:r>
        <w:rPr>
          <w:color w:val="231F20"/>
          <w:sz w:val="24"/>
          <w:szCs w:val="24"/>
        </w:rPr>
        <w:t>收集</w:t>
      </w:r>
      <w:proofErr w:type="gramStart"/>
      <w:r>
        <w:rPr>
          <w:color w:val="231F20"/>
          <w:sz w:val="24"/>
          <w:szCs w:val="24"/>
        </w:rPr>
        <w:t>整理二普</w:t>
      </w:r>
      <w:proofErr w:type="gramEnd"/>
      <w:r>
        <w:rPr>
          <w:color w:val="231F20"/>
          <w:sz w:val="24"/>
          <w:szCs w:val="24"/>
        </w:rPr>
        <w:t>1：5万土壤图（土种图为主，部分地区为土属图）、国土三调1：1万土地利用现状图（2019年12月31日）、1：10万地形图、1：1</w:t>
      </w:r>
      <w:proofErr w:type="gramStart"/>
      <w:r>
        <w:rPr>
          <w:color w:val="231F20"/>
          <w:sz w:val="24"/>
          <w:szCs w:val="24"/>
        </w:rPr>
        <w:t>万全国</w:t>
      </w:r>
      <w:proofErr w:type="gramEnd"/>
      <w:r>
        <w:rPr>
          <w:color w:val="231F20"/>
          <w:sz w:val="24"/>
          <w:szCs w:val="24"/>
        </w:rPr>
        <w:t>行政区划图（国家、省、县、乡、村界）、地质图、气象资料等。</w:t>
      </w:r>
    </w:p>
    <w:p w:rsidR="00405F55" w:rsidRDefault="00000000">
      <w:pPr>
        <w:pStyle w:val="3"/>
        <w:spacing w:before="0" w:after="0" w:line="360" w:lineRule="auto"/>
        <w:rPr>
          <w:rFonts w:ascii="宋体" w:eastAsia="宋体" w:hAnsi="宋体" w:cs="宋体"/>
          <w:sz w:val="24"/>
          <w:lang w:eastAsia="zh-CN"/>
        </w:rPr>
      </w:pPr>
      <w:bookmarkStart w:id="103" w:name="bookmark107"/>
      <w:bookmarkStart w:id="104" w:name="_Toc26741"/>
      <w:r>
        <w:rPr>
          <w:rFonts w:ascii="宋体" w:eastAsia="宋体" w:hAnsi="宋体" w:cs="宋体" w:hint="eastAsia"/>
          <w:sz w:val="24"/>
          <w:lang w:eastAsia="zh-CN"/>
        </w:rPr>
        <w:t>6.1.2</w:t>
      </w:r>
      <w:proofErr w:type="gramStart"/>
      <w:r>
        <w:rPr>
          <w:rFonts w:ascii="宋体" w:eastAsia="宋体" w:hAnsi="宋体" w:cs="宋体" w:hint="eastAsia"/>
          <w:sz w:val="24"/>
          <w:lang w:eastAsia="zh-CN"/>
        </w:rPr>
        <w:t xml:space="preserve">  </w:t>
      </w:r>
      <w:proofErr w:type="gramEnd"/>
      <w:r>
        <w:rPr>
          <w:rFonts w:ascii="宋体" w:eastAsia="宋体" w:hAnsi="宋体" w:cs="宋体" w:hint="eastAsia"/>
          <w:sz w:val="24"/>
          <w:lang w:eastAsia="zh-CN"/>
        </w:rPr>
        <w:t>生成工作底图</w:t>
      </w:r>
      <w:bookmarkEnd w:id="103"/>
      <w:bookmarkEnd w:id="104"/>
    </w:p>
    <w:p w:rsidR="00405F55" w:rsidRDefault="00000000">
      <w:pPr>
        <w:pStyle w:val="12"/>
        <w:spacing w:line="317" w:lineRule="exact"/>
        <w:ind w:firstLine="440"/>
        <w:rPr>
          <w:color w:val="231F20"/>
          <w:sz w:val="24"/>
          <w:szCs w:val="24"/>
        </w:rPr>
      </w:pPr>
      <w:r>
        <w:rPr>
          <w:color w:val="231F20"/>
          <w:sz w:val="24"/>
          <w:szCs w:val="24"/>
        </w:rPr>
        <w:t>叠加经过标准化处理</w:t>
      </w:r>
      <w:proofErr w:type="gramStart"/>
      <w:r>
        <w:rPr>
          <w:color w:val="231F20"/>
          <w:sz w:val="24"/>
          <w:szCs w:val="24"/>
        </w:rPr>
        <w:t>的二普</w:t>
      </w:r>
      <w:proofErr w:type="gramEnd"/>
      <w:r>
        <w:rPr>
          <w:color w:val="231F20"/>
          <w:sz w:val="24"/>
          <w:szCs w:val="24"/>
        </w:rPr>
        <w:t>1：5万土壤图和国土三调1：1万土地利用现状图，形成“土壤类型+土地利用类型”的叠加图斑（以下简称“叠加图斑”），形成的耕地、园地、林地、草地、盐碱荒地叠加图层与地形地貌图，作为</w:t>
      </w:r>
      <w:proofErr w:type="gramStart"/>
      <w:r>
        <w:rPr>
          <w:color w:val="231F20"/>
          <w:sz w:val="24"/>
          <w:szCs w:val="24"/>
        </w:rPr>
        <w:t>三普内业</w:t>
      </w:r>
      <w:proofErr w:type="gramEnd"/>
      <w:r>
        <w:rPr>
          <w:color w:val="231F20"/>
          <w:sz w:val="24"/>
          <w:szCs w:val="24"/>
        </w:rPr>
        <w:t>样点预布设、成果汇总等的工作底图。</w:t>
      </w:r>
    </w:p>
    <w:p w:rsidR="00405F55" w:rsidRDefault="00000000">
      <w:pPr>
        <w:pStyle w:val="12"/>
        <w:spacing w:line="317" w:lineRule="exact"/>
        <w:ind w:firstLine="440"/>
        <w:rPr>
          <w:color w:val="231F20"/>
          <w:sz w:val="24"/>
          <w:szCs w:val="24"/>
        </w:rPr>
      </w:pPr>
      <w:r>
        <w:rPr>
          <w:color w:val="231F20"/>
          <w:sz w:val="24"/>
          <w:szCs w:val="24"/>
        </w:rPr>
        <w:lastRenderedPageBreak/>
        <w:t>样点分布图+遥感影像图+行政区划图，作为外业调查采样的工作底图。</w:t>
      </w:r>
    </w:p>
    <w:p w:rsidR="00405F55" w:rsidRDefault="00000000">
      <w:pPr>
        <w:pStyle w:val="2"/>
        <w:spacing w:before="0" w:after="0" w:line="360" w:lineRule="auto"/>
        <w:rPr>
          <w:rFonts w:ascii="宋体" w:eastAsia="宋体" w:hAnsi="宋体" w:cs="宋体"/>
          <w:sz w:val="30"/>
          <w:szCs w:val="30"/>
          <w:lang w:eastAsia="zh-CN"/>
        </w:rPr>
      </w:pPr>
      <w:bookmarkStart w:id="105" w:name="_Toc3738"/>
      <w:r>
        <w:rPr>
          <w:rFonts w:ascii="宋体" w:eastAsia="宋体" w:hAnsi="宋体" w:cs="宋体" w:hint="eastAsia"/>
          <w:sz w:val="30"/>
          <w:szCs w:val="30"/>
          <w:lang w:eastAsia="zh-CN"/>
        </w:rPr>
        <w:t>6.2</w:t>
      </w:r>
      <w:proofErr w:type="gramStart"/>
      <w:r>
        <w:rPr>
          <w:rFonts w:ascii="宋体" w:eastAsia="宋体" w:hAnsi="宋体" w:cs="宋体" w:hint="eastAsia"/>
          <w:sz w:val="30"/>
          <w:szCs w:val="30"/>
          <w:lang w:eastAsia="zh-CN"/>
        </w:rPr>
        <w:t xml:space="preserve">  </w:t>
      </w:r>
      <w:proofErr w:type="gramEnd"/>
      <w:r>
        <w:rPr>
          <w:rFonts w:ascii="宋体" w:eastAsia="宋体" w:hAnsi="宋体" w:cs="宋体" w:hint="eastAsia"/>
          <w:sz w:val="30"/>
          <w:szCs w:val="30"/>
          <w:lang w:eastAsia="zh-CN"/>
        </w:rPr>
        <w:t>样点预布设</w:t>
      </w:r>
      <w:bookmarkEnd w:id="105"/>
    </w:p>
    <w:p w:rsidR="00405F55" w:rsidRDefault="00000000">
      <w:pPr>
        <w:pStyle w:val="12"/>
        <w:spacing w:line="360" w:lineRule="auto"/>
        <w:ind w:firstLine="442"/>
        <w:rPr>
          <w:color w:val="231F20"/>
          <w:sz w:val="24"/>
          <w:szCs w:val="24"/>
        </w:rPr>
      </w:pPr>
      <w:r>
        <w:rPr>
          <w:color w:val="231F20"/>
          <w:sz w:val="24"/>
          <w:szCs w:val="24"/>
        </w:rPr>
        <w:t>在上述“叠加图斑”上，采用差异化样点密度的方法，布设表层样点和剖面样，赋值样点信息与任务。样点布设的具体方法，详见«第三次全国土壤普查工作底图制作与采样点布设技术规范</w:t>
      </w:r>
      <w:proofErr w:type="gramStart"/>
      <w:r>
        <w:rPr>
          <w:color w:val="231F20"/>
          <w:sz w:val="24"/>
          <w:szCs w:val="24"/>
        </w:rPr>
        <w:t>》</w:t>
      </w:r>
      <w:proofErr w:type="gramEnd"/>
      <w:r>
        <w:rPr>
          <w:color w:val="231F20"/>
          <w:sz w:val="24"/>
          <w:szCs w:val="24"/>
        </w:rPr>
        <w:t>。</w:t>
      </w:r>
    </w:p>
    <w:p w:rsidR="00405F55" w:rsidRDefault="00000000">
      <w:pPr>
        <w:pStyle w:val="3"/>
        <w:spacing w:before="0" w:after="0" w:line="360" w:lineRule="auto"/>
        <w:rPr>
          <w:rFonts w:ascii="宋体" w:eastAsia="宋体" w:hAnsi="宋体" w:cs="宋体"/>
          <w:sz w:val="24"/>
          <w:lang w:eastAsia="zh-CN"/>
        </w:rPr>
      </w:pPr>
      <w:bookmarkStart w:id="106" w:name="_Toc22113"/>
      <w:r>
        <w:rPr>
          <w:rFonts w:ascii="宋体" w:eastAsia="宋体" w:hAnsi="宋体" w:cs="宋体" w:hint="eastAsia"/>
          <w:sz w:val="24"/>
          <w:lang w:eastAsia="zh-CN"/>
        </w:rPr>
        <w:t>6.2.1</w:t>
      </w:r>
      <w:proofErr w:type="gramStart"/>
      <w:r>
        <w:rPr>
          <w:rFonts w:ascii="宋体" w:eastAsia="宋体" w:hAnsi="宋体" w:cs="宋体" w:hint="eastAsia"/>
          <w:sz w:val="24"/>
          <w:lang w:eastAsia="zh-CN"/>
        </w:rPr>
        <w:t xml:space="preserve">  </w:t>
      </w:r>
      <w:proofErr w:type="gramEnd"/>
      <w:r>
        <w:rPr>
          <w:rFonts w:ascii="宋体" w:eastAsia="宋体" w:hAnsi="宋体" w:cs="宋体" w:hint="eastAsia"/>
          <w:sz w:val="24"/>
          <w:lang w:eastAsia="zh-CN"/>
        </w:rPr>
        <w:t>基本方法</w:t>
      </w:r>
      <w:bookmarkEnd w:id="106"/>
    </w:p>
    <w:p w:rsidR="00405F55" w:rsidRDefault="00000000">
      <w:pPr>
        <w:pStyle w:val="5"/>
        <w:spacing w:before="0" w:after="0" w:line="360" w:lineRule="auto"/>
        <w:rPr>
          <w:rFonts w:ascii="宋体" w:eastAsia="宋体" w:hAnsi="宋体" w:cs="宋体"/>
          <w:sz w:val="24"/>
          <w:lang w:eastAsia="zh-CN"/>
        </w:rPr>
      </w:pPr>
      <w:bookmarkStart w:id="107" w:name="_Toc3672"/>
      <w:r>
        <w:rPr>
          <w:rFonts w:ascii="宋体" w:eastAsia="宋体" w:hAnsi="宋体" w:cs="宋体" w:hint="eastAsia"/>
          <w:sz w:val="24"/>
          <w:lang w:eastAsia="zh-CN"/>
        </w:rPr>
        <w:t>6.2.1.1</w:t>
      </w:r>
      <w:proofErr w:type="gramStart"/>
      <w:r>
        <w:rPr>
          <w:rFonts w:ascii="宋体" w:eastAsia="宋体" w:hAnsi="宋体" w:cs="宋体" w:hint="eastAsia"/>
          <w:sz w:val="24"/>
          <w:lang w:eastAsia="zh-CN"/>
        </w:rPr>
        <w:t xml:space="preserve">  </w:t>
      </w:r>
      <w:proofErr w:type="gramEnd"/>
      <w:r>
        <w:rPr>
          <w:rFonts w:ascii="宋体" w:eastAsia="宋体" w:hAnsi="宋体" w:cs="宋体" w:hint="eastAsia"/>
          <w:sz w:val="24"/>
          <w:lang w:eastAsia="zh-CN"/>
        </w:rPr>
        <w:t>表层样点</w:t>
      </w:r>
      <w:bookmarkEnd w:id="107"/>
    </w:p>
    <w:p w:rsidR="00405F55" w:rsidRDefault="00000000">
      <w:pPr>
        <w:pStyle w:val="12"/>
        <w:spacing w:line="360" w:lineRule="auto"/>
        <w:ind w:firstLine="442"/>
        <w:rPr>
          <w:color w:val="231F20"/>
          <w:sz w:val="24"/>
          <w:szCs w:val="24"/>
        </w:rPr>
      </w:pPr>
      <w:r>
        <w:rPr>
          <w:color w:val="231F20"/>
          <w:sz w:val="24"/>
          <w:szCs w:val="24"/>
        </w:rPr>
        <w:t>以县域为表层样点基本行政单元，基于耕地、园地、林地、草地、盐碱地不同的表层样点布设密度，从普查县1：1万土地利用现状图中提取耕园地、林草盐碱地，将线状</w:t>
      </w:r>
      <w:proofErr w:type="gramStart"/>
      <w:r>
        <w:rPr>
          <w:color w:val="231F20"/>
          <w:sz w:val="24"/>
          <w:szCs w:val="24"/>
        </w:rPr>
        <w:t>地物融并到前两个图层</w:t>
      </w:r>
      <w:proofErr w:type="gramEnd"/>
      <w:r>
        <w:rPr>
          <w:color w:val="231F20"/>
          <w:sz w:val="24"/>
          <w:szCs w:val="24"/>
        </w:rPr>
        <w:t>,再与经过标准化处理后的1：5万土壤图叠加，生成叠加图斑。将叠加图斑分成两大类图层：一类是耕地、园地图层；另一类是林地、草地和未利用地（含盐碱地）图层。每类</w:t>
      </w:r>
      <w:proofErr w:type="gramStart"/>
      <w:r>
        <w:rPr>
          <w:color w:val="231F20"/>
          <w:sz w:val="24"/>
          <w:szCs w:val="24"/>
        </w:rPr>
        <w:t>图层初步</w:t>
      </w:r>
      <w:proofErr w:type="gramEnd"/>
      <w:r>
        <w:rPr>
          <w:color w:val="231F20"/>
          <w:sz w:val="24"/>
          <w:szCs w:val="24"/>
        </w:rPr>
        <w:t>确定样点数量以及</w:t>
      </w:r>
      <w:proofErr w:type="gramStart"/>
      <w:r>
        <w:rPr>
          <w:color w:val="231F20"/>
          <w:sz w:val="24"/>
          <w:szCs w:val="24"/>
        </w:rPr>
        <w:t>人样图斑</w:t>
      </w:r>
      <w:proofErr w:type="gramEnd"/>
      <w:r>
        <w:rPr>
          <w:color w:val="231F20"/>
          <w:sz w:val="24"/>
          <w:szCs w:val="24"/>
        </w:rPr>
        <w:t>数量，并进一步依据地形地貌变异程度、地理标志农产品分布区等进行样点加密。基于普查县采样点数量，以及各类型区规划布样密度，选取出全县范围内</w:t>
      </w:r>
      <w:proofErr w:type="gramStart"/>
      <w:r>
        <w:rPr>
          <w:color w:val="231F20"/>
          <w:sz w:val="24"/>
          <w:szCs w:val="24"/>
        </w:rPr>
        <w:t>人样图斑</w:t>
      </w:r>
      <w:proofErr w:type="gramEnd"/>
      <w:r>
        <w:rPr>
          <w:color w:val="231F20"/>
          <w:sz w:val="24"/>
          <w:szCs w:val="24"/>
        </w:rPr>
        <w:t>或剩余叠加图斑，图斑的质心点作为样点位置。</w:t>
      </w:r>
    </w:p>
    <w:p w:rsidR="00405F55" w:rsidRDefault="00000000">
      <w:pPr>
        <w:pStyle w:val="5"/>
        <w:spacing w:before="0" w:after="0" w:line="360" w:lineRule="auto"/>
        <w:rPr>
          <w:rFonts w:ascii="宋体" w:eastAsia="宋体" w:hAnsi="宋体" w:cs="宋体"/>
          <w:sz w:val="24"/>
          <w:lang w:eastAsia="zh-CN"/>
        </w:rPr>
      </w:pPr>
      <w:bookmarkStart w:id="108" w:name="_Toc16063"/>
      <w:r>
        <w:rPr>
          <w:rFonts w:ascii="宋体" w:eastAsia="宋体" w:hAnsi="宋体" w:cs="宋体" w:hint="eastAsia"/>
          <w:sz w:val="24"/>
          <w:lang w:eastAsia="zh-CN"/>
        </w:rPr>
        <w:t>6.2.1.2 剖面样点</w:t>
      </w:r>
      <w:bookmarkEnd w:id="108"/>
    </w:p>
    <w:p w:rsidR="00405F55" w:rsidRDefault="00000000">
      <w:pPr>
        <w:pStyle w:val="12"/>
        <w:spacing w:line="360" w:lineRule="auto"/>
        <w:ind w:firstLine="442"/>
        <w:rPr>
          <w:color w:val="231F20"/>
          <w:sz w:val="24"/>
          <w:szCs w:val="24"/>
        </w:rPr>
      </w:pPr>
      <w:proofErr w:type="gramStart"/>
      <w:r>
        <w:rPr>
          <w:color w:val="231F20"/>
          <w:sz w:val="24"/>
          <w:szCs w:val="24"/>
        </w:rPr>
        <w:t>以二普土壤图斑</w:t>
      </w:r>
      <w:proofErr w:type="gramEnd"/>
      <w:r>
        <w:rPr>
          <w:color w:val="231F20"/>
          <w:sz w:val="24"/>
          <w:szCs w:val="24"/>
        </w:rPr>
        <w:t>为基础，结合宏观代表性与局地代表性，考虑多尺度的土壤分异规律，布设</w:t>
      </w:r>
      <w:proofErr w:type="gramStart"/>
      <w:r>
        <w:rPr>
          <w:color w:val="231F20"/>
          <w:sz w:val="24"/>
          <w:szCs w:val="24"/>
        </w:rPr>
        <w:t>重点是耕园地</w:t>
      </w:r>
      <w:proofErr w:type="gramEnd"/>
      <w:r>
        <w:rPr>
          <w:color w:val="231F20"/>
          <w:sz w:val="24"/>
          <w:szCs w:val="24"/>
        </w:rPr>
        <w:t>，兼顾林草盐碱地，主体上采样典型布点，在土壤类型</w:t>
      </w:r>
      <w:proofErr w:type="gramStart"/>
      <w:r>
        <w:rPr>
          <w:color w:val="231F20"/>
          <w:sz w:val="24"/>
          <w:szCs w:val="24"/>
        </w:rPr>
        <w:t>变化区加点</w:t>
      </w:r>
      <w:proofErr w:type="gramEnd"/>
      <w:r>
        <w:rPr>
          <w:color w:val="231F20"/>
          <w:sz w:val="24"/>
          <w:szCs w:val="24"/>
        </w:rPr>
        <w:t>，实现省域统筹布设剖面样点。以土地利用图层、</w:t>
      </w:r>
      <w:proofErr w:type="gramStart"/>
      <w:r>
        <w:rPr>
          <w:color w:val="231F20"/>
          <w:sz w:val="24"/>
          <w:szCs w:val="24"/>
        </w:rPr>
        <w:t>二普土壤图</w:t>
      </w:r>
      <w:proofErr w:type="gramEnd"/>
      <w:r>
        <w:rPr>
          <w:color w:val="231F20"/>
          <w:sz w:val="24"/>
          <w:szCs w:val="24"/>
        </w:rPr>
        <w:t>、关键成土因素变量、地貌类型图和道路潜在</w:t>
      </w:r>
      <w:proofErr w:type="gramStart"/>
      <w:r>
        <w:rPr>
          <w:color w:val="231F20"/>
          <w:sz w:val="24"/>
          <w:szCs w:val="24"/>
        </w:rPr>
        <w:t>可达性图层为</w:t>
      </w:r>
      <w:proofErr w:type="gramEnd"/>
      <w:r>
        <w:rPr>
          <w:color w:val="231F20"/>
          <w:sz w:val="24"/>
          <w:szCs w:val="24"/>
        </w:rPr>
        <w:t>基础数据，在考虑代表性、土壤演变、空间均衡性、用途导向、可操作性及效率等原则下，通过</w:t>
      </w:r>
      <w:proofErr w:type="gramStart"/>
      <w:r>
        <w:rPr>
          <w:color w:val="231F20"/>
          <w:sz w:val="24"/>
          <w:szCs w:val="24"/>
        </w:rPr>
        <w:t>估算省</w:t>
      </w:r>
      <w:proofErr w:type="gramEnd"/>
      <w:r>
        <w:rPr>
          <w:color w:val="231F20"/>
          <w:sz w:val="24"/>
          <w:szCs w:val="24"/>
        </w:rPr>
        <w:t>域剖面样点数、确定各土种样点数量、筛选土种代表性图斑、识别典型景观位置和土壤类型</w:t>
      </w:r>
      <w:proofErr w:type="gramStart"/>
      <w:r>
        <w:rPr>
          <w:color w:val="231F20"/>
          <w:sz w:val="24"/>
          <w:szCs w:val="24"/>
        </w:rPr>
        <w:t>变化区补</w:t>
      </w:r>
      <w:proofErr w:type="gramEnd"/>
      <w:r>
        <w:rPr>
          <w:color w:val="231F20"/>
          <w:sz w:val="24"/>
          <w:szCs w:val="24"/>
        </w:rPr>
        <w:t>点等流程，进行剖面样点位置布设。</w:t>
      </w:r>
    </w:p>
    <w:p w:rsidR="00405F55" w:rsidRDefault="00000000">
      <w:pPr>
        <w:pStyle w:val="34"/>
        <w:keepNext/>
        <w:keepLines/>
        <w:tabs>
          <w:tab w:val="left" w:pos="734"/>
        </w:tabs>
        <w:spacing w:line="314" w:lineRule="exact"/>
        <w:outlineLvl w:val="3"/>
        <w:rPr>
          <w:bCs w:val="0"/>
          <w:sz w:val="24"/>
          <w:szCs w:val="24"/>
          <w:lang w:val="en-US" w:bidi="en-US"/>
        </w:rPr>
      </w:pPr>
      <w:bookmarkStart w:id="109" w:name="bookmark109"/>
      <w:bookmarkStart w:id="110" w:name="_Toc21011"/>
      <w:r>
        <w:rPr>
          <w:rFonts w:hint="eastAsia"/>
          <w:bCs w:val="0"/>
          <w:sz w:val="24"/>
          <w:szCs w:val="24"/>
          <w:lang w:val="en-US" w:bidi="en-US"/>
        </w:rPr>
        <w:t>6.2.2 预布设样点省级校核</w:t>
      </w:r>
      <w:bookmarkEnd w:id="109"/>
      <w:bookmarkEnd w:id="110"/>
    </w:p>
    <w:p w:rsidR="00405F55" w:rsidRDefault="00000000">
      <w:pPr>
        <w:pStyle w:val="12"/>
        <w:spacing w:line="360" w:lineRule="auto"/>
        <w:ind w:firstLine="442"/>
        <w:rPr>
          <w:color w:val="231F20"/>
          <w:sz w:val="24"/>
          <w:szCs w:val="24"/>
        </w:rPr>
      </w:pPr>
      <w:r>
        <w:rPr>
          <w:color w:val="231F20"/>
          <w:sz w:val="24"/>
          <w:szCs w:val="24"/>
        </w:rPr>
        <w:t>样点布设任务单位完成样品预布设与初步校核后，</w:t>
      </w:r>
      <w:proofErr w:type="gramStart"/>
      <w:r>
        <w:rPr>
          <w:color w:val="231F20"/>
          <w:sz w:val="24"/>
          <w:szCs w:val="24"/>
        </w:rPr>
        <w:t>连同工作</w:t>
      </w:r>
      <w:proofErr w:type="gramEnd"/>
      <w:r>
        <w:rPr>
          <w:color w:val="231F20"/>
          <w:sz w:val="24"/>
          <w:szCs w:val="24"/>
        </w:rPr>
        <w:t>底图与样点布设信息分发给各省级土壤普查办，各省级土壤普查办组织专家与相关县级人员，以土壤类型代表性、最新的地块土地利用、距离村庄道路河流污染源等远近、交通通达情况、遥感影像等要素为依据，综合进行样点的人工校核，提高布设样点的代表性与合理性。其中，表层样点校核时，需利用最新的土地利用方式或农业利用方式进行校核，避免由于2019年后土地利用变更，造成样点失去代表性；剖面样点校核时，需确保布设样点的宏观代表</w:t>
      </w:r>
      <w:r>
        <w:rPr>
          <w:color w:val="231F20"/>
          <w:sz w:val="24"/>
          <w:szCs w:val="24"/>
        </w:rPr>
        <w:lastRenderedPageBreak/>
        <w:t>性和局地代表性。</w:t>
      </w:r>
    </w:p>
    <w:p w:rsidR="00405F55" w:rsidRDefault="00000000">
      <w:pPr>
        <w:pStyle w:val="12"/>
        <w:spacing w:line="360" w:lineRule="auto"/>
        <w:ind w:firstLine="442"/>
        <w:rPr>
          <w:color w:val="231F20"/>
          <w:sz w:val="24"/>
          <w:szCs w:val="24"/>
        </w:rPr>
      </w:pPr>
      <w:r>
        <w:rPr>
          <w:color w:val="231F20"/>
          <w:sz w:val="24"/>
          <w:szCs w:val="24"/>
        </w:rPr>
        <w:t>全国土壤普查办将布设样点分发给各省级土壤普查办后，预布设样点数原则上只增不减（建筑等占用除外）。如有重大调整，须将调整方案、调整依据等报全国土壤普查办审批。</w:t>
      </w:r>
    </w:p>
    <w:p w:rsidR="00405F55" w:rsidRDefault="00000000">
      <w:pPr>
        <w:pStyle w:val="12"/>
        <w:spacing w:line="360" w:lineRule="auto"/>
        <w:ind w:firstLine="442"/>
        <w:rPr>
          <w:color w:val="231F20"/>
          <w:sz w:val="24"/>
          <w:szCs w:val="24"/>
        </w:rPr>
      </w:pPr>
      <w:r>
        <w:rPr>
          <w:color w:val="231F20"/>
          <w:sz w:val="24"/>
          <w:szCs w:val="24"/>
        </w:rPr>
        <w:t>各省校验后的样点位置与信息，需上报全国土壤普查办与样点布设任务单位，作为各省样点编码、样品编码等普查任务的基础。</w:t>
      </w:r>
    </w:p>
    <w:p w:rsidR="00405F55" w:rsidRDefault="00000000">
      <w:pPr>
        <w:pStyle w:val="34"/>
        <w:keepNext/>
        <w:keepLines/>
        <w:tabs>
          <w:tab w:val="left" w:pos="734"/>
        </w:tabs>
        <w:spacing w:line="314" w:lineRule="exact"/>
        <w:outlineLvl w:val="3"/>
        <w:rPr>
          <w:bCs w:val="0"/>
          <w:sz w:val="24"/>
          <w:szCs w:val="24"/>
          <w:lang w:val="en-US" w:bidi="en-US"/>
        </w:rPr>
      </w:pPr>
      <w:bookmarkStart w:id="111" w:name="bookmark111"/>
      <w:bookmarkStart w:id="112" w:name="_Toc25129"/>
      <w:r>
        <w:rPr>
          <w:rFonts w:hint="eastAsia"/>
          <w:bCs w:val="0"/>
          <w:sz w:val="24"/>
          <w:szCs w:val="24"/>
          <w:lang w:val="en-US" w:bidi="en-US"/>
        </w:rPr>
        <w:t>6.2.3  样点编码</w:t>
      </w:r>
      <w:bookmarkEnd w:id="111"/>
      <w:bookmarkEnd w:id="112"/>
    </w:p>
    <w:p w:rsidR="00405F55" w:rsidRDefault="00000000">
      <w:pPr>
        <w:pStyle w:val="12"/>
        <w:spacing w:line="360" w:lineRule="auto"/>
        <w:ind w:firstLine="442"/>
        <w:rPr>
          <w:color w:val="231F20"/>
          <w:sz w:val="24"/>
          <w:szCs w:val="24"/>
        </w:rPr>
      </w:pPr>
      <w:r>
        <w:rPr>
          <w:color w:val="231F20"/>
          <w:sz w:val="24"/>
          <w:szCs w:val="24"/>
        </w:rPr>
        <w:t>预布设的每一样点，实行“一点一码”制度，赋予一个18位的样点编码，即县级行政区域代码6位+土地利用类型4位+样点类别1位+序号5位（如00001）+样品类型1位（一般样品为1,容重样品为2,水稳性大团聚体样品为3）+样品层次序号（表层样品为0,剖面样品为发生层序号）。</w:t>
      </w:r>
    </w:p>
    <w:p w:rsidR="00405F55" w:rsidRDefault="00000000">
      <w:pPr>
        <w:pStyle w:val="12"/>
        <w:spacing w:line="360" w:lineRule="auto"/>
        <w:ind w:firstLine="442"/>
        <w:rPr>
          <w:color w:val="231F20"/>
          <w:sz w:val="24"/>
          <w:szCs w:val="24"/>
        </w:rPr>
      </w:pPr>
      <w:r>
        <w:rPr>
          <w:color w:val="231F20"/>
          <w:sz w:val="24"/>
          <w:szCs w:val="24"/>
        </w:rPr>
        <w:t>编码第1~6位为县级的全国各地行政区划代码，</w:t>
      </w:r>
      <w:proofErr w:type="gramStart"/>
      <w:r>
        <w:rPr>
          <w:color w:val="231F20"/>
          <w:sz w:val="24"/>
          <w:szCs w:val="24"/>
        </w:rPr>
        <w:t>含前2位</w:t>
      </w:r>
      <w:proofErr w:type="gramEnd"/>
      <w:r>
        <w:rPr>
          <w:color w:val="231F20"/>
          <w:sz w:val="24"/>
          <w:szCs w:val="24"/>
        </w:rPr>
        <w:t>的省级编码。</w:t>
      </w:r>
    </w:p>
    <w:p w:rsidR="00405F55" w:rsidRDefault="00000000">
      <w:pPr>
        <w:pStyle w:val="12"/>
        <w:spacing w:line="360" w:lineRule="auto"/>
        <w:ind w:firstLine="442"/>
        <w:rPr>
          <w:color w:val="231F20"/>
          <w:sz w:val="24"/>
          <w:szCs w:val="24"/>
        </w:rPr>
      </w:pPr>
      <w:r>
        <w:rPr>
          <w:color w:val="231F20"/>
          <w:sz w:val="24"/>
          <w:szCs w:val="24"/>
        </w:rPr>
        <w:t>编码第7~10位为国土三调土地利用类型编码，第7~8位为土地利用类型的一级分类编码，第9~10位为土地利用类型的二级分类编码。</w:t>
      </w:r>
    </w:p>
    <w:p w:rsidR="00405F55" w:rsidRDefault="00000000">
      <w:pPr>
        <w:pStyle w:val="12"/>
        <w:spacing w:line="360" w:lineRule="auto"/>
        <w:ind w:firstLine="442"/>
        <w:rPr>
          <w:color w:val="231F20"/>
          <w:sz w:val="24"/>
          <w:szCs w:val="24"/>
        </w:rPr>
      </w:pPr>
      <w:r>
        <w:rPr>
          <w:color w:val="231F20"/>
          <w:sz w:val="24"/>
          <w:szCs w:val="24"/>
        </w:rPr>
        <w:t>编码第11位为样点类别，表层样点为0,剖面样点为1。</w:t>
      </w:r>
    </w:p>
    <w:p w:rsidR="00405F55" w:rsidRDefault="00000000">
      <w:pPr>
        <w:pStyle w:val="12"/>
        <w:spacing w:line="360" w:lineRule="auto"/>
        <w:ind w:firstLine="442"/>
        <w:rPr>
          <w:color w:val="231F20"/>
          <w:sz w:val="24"/>
          <w:szCs w:val="24"/>
        </w:rPr>
      </w:pPr>
      <w:r>
        <w:rPr>
          <w:color w:val="231F20"/>
          <w:sz w:val="24"/>
          <w:szCs w:val="24"/>
        </w:rPr>
        <w:t>编码第12~16位为县级样点顺序码，由普查工作平台生成该顺序码。</w:t>
      </w:r>
    </w:p>
    <w:p w:rsidR="00405F55" w:rsidRDefault="00000000">
      <w:pPr>
        <w:pStyle w:val="12"/>
        <w:spacing w:line="360" w:lineRule="auto"/>
        <w:ind w:firstLine="442"/>
        <w:rPr>
          <w:color w:val="231F20"/>
          <w:sz w:val="24"/>
          <w:szCs w:val="24"/>
        </w:rPr>
      </w:pPr>
      <w:r>
        <w:rPr>
          <w:color w:val="231F20"/>
          <w:sz w:val="24"/>
          <w:szCs w:val="24"/>
        </w:rPr>
        <w:t>编码第17位为样品类型,表层土壤样品为1,容重土壤样品为2,水稳性大团聚体样品为3。</w:t>
      </w:r>
    </w:p>
    <w:p w:rsidR="00405F55" w:rsidRDefault="00000000">
      <w:pPr>
        <w:pStyle w:val="12"/>
        <w:spacing w:line="360" w:lineRule="auto"/>
        <w:ind w:firstLine="442"/>
        <w:rPr>
          <w:color w:val="231F20"/>
          <w:sz w:val="24"/>
          <w:szCs w:val="24"/>
        </w:rPr>
      </w:pPr>
      <w:r>
        <w:rPr>
          <w:color w:val="231F20"/>
          <w:sz w:val="24"/>
          <w:szCs w:val="24"/>
        </w:rPr>
        <w:t>编码第18位为样品层次序号，表层土壤样品为0；剖面土壤样品为发生层由上及下的序号，第一发生层为1,第二发生层为2,第三发生层为3,第四发生层为4,第五发生层为5,第六发生层为6。</w:t>
      </w:r>
    </w:p>
    <w:p w:rsidR="00405F55" w:rsidRDefault="00000000">
      <w:pPr>
        <w:pStyle w:val="34"/>
        <w:keepNext/>
        <w:keepLines/>
        <w:tabs>
          <w:tab w:val="left" w:pos="734"/>
        </w:tabs>
        <w:spacing w:line="314" w:lineRule="exact"/>
        <w:outlineLvl w:val="3"/>
        <w:rPr>
          <w:bCs w:val="0"/>
          <w:sz w:val="24"/>
          <w:szCs w:val="24"/>
          <w:lang w:val="en-US" w:bidi="en-US"/>
        </w:rPr>
      </w:pPr>
      <w:bookmarkStart w:id="113" w:name="bookmark113"/>
      <w:bookmarkStart w:id="114" w:name="_Toc27812"/>
      <w:r>
        <w:rPr>
          <w:rFonts w:hint="eastAsia"/>
          <w:bCs w:val="0"/>
          <w:sz w:val="24"/>
          <w:szCs w:val="24"/>
          <w:lang w:val="en-US" w:bidi="en-US"/>
        </w:rPr>
        <w:t>6.2.4  样点信息与任务赋值</w:t>
      </w:r>
      <w:bookmarkEnd w:id="113"/>
      <w:bookmarkEnd w:id="114"/>
    </w:p>
    <w:p w:rsidR="00405F55" w:rsidRDefault="00000000">
      <w:pPr>
        <w:pStyle w:val="12"/>
        <w:spacing w:line="360" w:lineRule="auto"/>
        <w:ind w:firstLine="442"/>
        <w:rPr>
          <w:color w:val="231F20"/>
          <w:sz w:val="24"/>
          <w:szCs w:val="24"/>
        </w:rPr>
      </w:pPr>
      <w:r>
        <w:rPr>
          <w:color w:val="231F20"/>
          <w:sz w:val="24"/>
          <w:szCs w:val="24"/>
        </w:rPr>
        <w:t>每一布设样点赋予现场确认、外业调查、样品流转、内业测试等任务清单,包括经纬度、土壤类型、土地利用类型、植被类型（作物类型）、遥感影像、行政区划、地形地貌、气候资源等信息,作为样点外</w:t>
      </w:r>
      <w:proofErr w:type="gramStart"/>
      <w:r>
        <w:rPr>
          <w:color w:val="231F20"/>
          <w:sz w:val="24"/>
          <w:szCs w:val="24"/>
        </w:rPr>
        <w:t>业现场</w:t>
      </w:r>
      <w:proofErr w:type="gramEnd"/>
      <w:r>
        <w:rPr>
          <w:color w:val="231F20"/>
          <w:sz w:val="24"/>
          <w:szCs w:val="24"/>
        </w:rPr>
        <w:t>确认与样点调查信息填报的参考。</w:t>
      </w:r>
    </w:p>
    <w:p w:rsidR="00405F55" w:rsidRDefault="00000000">
      <w:pPr>
        <w:pStyle w:val="12"/>
        <w:spacing w:line="360" w:lineRule="auto"/>
        <w:ind w:firstLine="442"/>
        <w:rPr>
          <w:color w:val="231F20"/>
          <w:sz w:val="24"/>
          <w:szCs w:val="24"/>
        </w:rPr>
      </w:pPr>
      <w:r>
        <w:rPr>
          <w:color w:val="231F20"/>
          <w:sz w:val="24"/>
          <w:szCs w:val="24"/>
        </w:rPr>
        <w:t>每</w:t>
      </w:r>
      <w:proofErr w:type="gramStart"/>
      <w:r>
        <w:rPr>
          <w:color w:val="231F20"/>
          <w:sz w:val="24"/>
          <w:szCs w:val="24"/>
        </w:rPr>
        <w:t>一样点</w:t>
      </w:r>
      <w:proofErr w:type="gramEnd"/>
      <w:r>
        <w:rPr>
          <w:color w:val="231F20"/>
          <w:sz w:val="24"/>
          <w:szCs w:val="24"/>
        </w:rPr>
        <w:t>赋予样点类型（表层样与剖面样）与样品量、样品检测指标与制样分样、检测实验室等任务信息，"调查采样</w:t>
      </w:r>
      <w:r>
        <w:rPr>
          <w:color w:val="231F20"/>
          <w:sz w:val="24"/>
          <w:szCs w:val="24"/>
          <w:lang w:val="en-US"/>
        </w:rPr>
        <w:t>App</w:t>
      </w:r>
      <w:proofErr w:type="gramStart"/>
      <w:r>
        <w:rPr>
          <w:color w:val="231F20"/>
          <w:sz w:val="24"/>
          <w:szCs w:val="24"/>
          <w:lang w:val="en-US"/>
        </w:rPr>
        <w:t>”</w:t>
      </w:r>
      <w:proofErr w:type="gramEnd"/>
      <w:r>
        <w:rPr>
          <w:color w:val="231F20"/>
          <w:sz w:val="24"/>
          <w:szCs w:val="24"/>
        </w:rPr>
        <w:t>给出相关的样点任务。</w:t>
      </w:r>
    </w:p>
    <w:p w:rsidR="00405F55" w:rsidRDefault="00000000">
      <w:pPr>
        <w:pStyle w:val="34"/>
        <w:keepNext/>
        <w:keepLines/>
        <w:tabs>
          <w:tab w:val="left" w:pos="734"/>
        </w:tabs>
        <w:spacing w:line="314" w:lineRule="exact"/>
        <w:outlineLvl w:val="3"/>
        <w:rPr>
          <w:bCs w:val="0"/>
          <w:sz w:val="24"/>
          <w:szCs w:val="24"/>
          <w:lang w:val="en-US" w:bidi="en-US"/>
        </w:rPr>
      </w:pPr>
      <w:bookmarkStart w:id="115" w:name="bookmark115"/>
      <w:bookmarkStart w:id="116" w:name="_Toc4656"/>
      <w:r>
        <w:rPr>
          <w:rFonts w:hint="eastAsia"/>
          <w:bCs w:val="0"/>
          <w:sz w:val="24"/>
          <w:szCs w:val="24"/>
          <w:lang w:val="en-US" w:bidi="en-US"/>
        </w:rPr>
        <w:t>6.2.5  样点信息加密分发</w:t>
      </w:r>
      <w:bookmarkEnd w:id="115"/>
      <w:bookmarkEnd w:id="116"/>
    </w:p>
    <w:p w:rsidR="00405F55" w:rsidRDefault="00000000">
      <w:pPr>
        <w:pStyle w:val="12"/>
        <w:spacing w:line="360" w:lineRule="auto"/>
        <w:ind w:firstLine="442"/>
        <w:rPr>
          <w:color w:val="231F20"/>
          <w:sz w:val="24"/>
          <w:szCs w:val="24"/>
        </w:rPr>
      </w:pPr>
      <w:r>
        <w:rPr>
          <w:color w:val="231F20"/>
          <w:sz w:val="24"/>
          <w:szCs w:val="24"/>
        </w:rPr>
        <w:t>采用单机拷贝或加密网络传输等方式,将制作好的工作底图和样点布设信息分发给各省级土壤普查办。</w:t>
      </w:r>
    </w:p>
    <w:p w:rsidR="00405F55" w:rsidRDefault="00000000">
      <w:pPr>
        <w:pStyle w:val="2"/>
        <w:spacing w:before="0" w:after="0" w:line="360" w:lineRule="auto"/>
        <w:rPr>
          <w:rFonts w:ascii="宋体" w:eastAsia="宋体" w:hAnsi="宋体" w:cs="宋体"/>
          <w:sz w:val="30"/>
          <w:szCs w:val="30"/>
          <w:lang w:eastAsia="zh-CN"/>
        </w:rPr>
      </w:pPr>
      <w:bookmarkStart w:id="117" w:name="_Toc13059"/>
      <w:r>
        <w:rPr>
          <w:rFonts w:ascii="宋体" w:eastAsia="宋体" w:hAnsi="宋体" w:cs="宋体" w:hint="eastAsia"/>
          <w:sz w:val="30"/>
          <w:szCs w:val="30"/>
          <w:lang w:eastAsia="zh-CN"/>
        </w:rPr>
        <w:lastRenderedPageBreak/>
        <w:t>6.3  研发土壤普查工作平台系统</w:t>
      </w:r>
      <w:bookmarkEnd w:id="117"/>
    </w:p>
    <w:p w:rsidR="00405F55" w:rsidRDefault="00000000">
      <w:pPr>
        <w:pStyle w:val="12"/>
        <w:spacing w:line="360" w:lineRule="auto"/>
        <w:ind w:firstLine="442"/>
        <w:rPr>
          <w:color w:val="231F20"/>
          <w:sz w:val="24"/>
          <w:szCs w:val="24"/>
        </w:rPr>
      </w:pPr>
      <w:r>
        <w:rPr>
          <w:color w:val="231F20"/>
          <w:sz w:val="24"/>
          <w:szCs w:val="24"/>
        </w:rPr>
        <w:t>全国土壤普查办组织研发土壤三普工作平台系统,供各省级土壤普查办使用。</w:t>
      </w:r>
    </w:p>
    <w:p w:rsidR="00405F55" w:rsidRDefault="00000000">
      <w:pPr>
        <w:pStyle w:val="12"/>
        <w:spacing w:line="360" w:lineRule="auto"/>
        <w:ind w:firstLine="442"/>
        <w:rPr>
          <w:color w:val="231F20"/>
          <w:sz w:val="24"/>
          <w:szCs w:val="24"/>
        </w:rPr>
      </w:pPr>
      <w:r>
        <w:rPr>
          <w:color w:val="231F20"/>
          <w:sz w:val="24"/>
          <w:szCs w:val="24"/>
        </w:rPr>
        <w:t>省级土壤普查办参照建立本区域的土壤数据管理中心,购置满足土壤外业、内业普查信息化工作的硬件与软件。</w:t>
      </w:r>
    </w:p>
    <w:p w:rsidR="00405F55" w:rsidRDefault="00000000">
      <w:pPr>
        <w:pStyle w:val="34"/>
        <w:keepNext/>
        <w:keepLines/>
        <w:tabs>
          <w:tab w:val="left" w:pos="734"/>
        </w:tabs>
        <w:spacing w:line="314" w:lineRule="exact"/>
        <w:outlineLvl w:val="3"/>
        <w:rPr>
          <w:bCs w:val="0"/>
          <w:sz w:val="24"/>
          <w:szCs w:val="24"/>
          <w:lang w:val="en-US" w:bidi="en-US"/>
        </w:rPr>
      </w:pPr>
      <w:bookmarkStart w:id="118" w:name="bookmark119"/>
      <w:bookmarkStart w:id="119" w:name="_Toc15058"/>
      <w:r>
        <w:rPr>
          <w:rFonts w:hint="eastAsia"/>
          <w:bCs w:val="0"/>
          <w:sz w:val="24"/>
          <w:szCs w:val="24"/>
          <w:lang w:val="en-US" w:bidi="en-US"/>
        </w:rPr>
        <w:t>6.3.1国家级土壤普查工作平台系统</w:t>
      </w:r>
      <w:bookmarkEnd w:id="118"/>
      <w:bookmarkEnd w:id="119"/>
    </w:p>
    <w:p w:rsidR="00405F55" w:rsidRDefault="00000000">
      <w:pPr>
        <w:pStyle w:val="12"/>
        <w:spacing w:line="360" w:lineRule="auto"/>
        <w:ind w:firstLine="442"/>
        <w:rPr>
          <w:color w:val="231F20"/>
          <w:sz w:val="24"/>
          <w:szCs w:val="24"/>
        </w:rPr>
      </w:pPr>
      <w:r>
        <w:rPr>
          <w:color w:val="231F20"/>
          <w:sz w:val="24"/>
          <w:szCs w:val="24"/>
        </w:rPr>
        <w:t>国家级土壤普查工作平台系统主要包括土壤三普的软硬件环境、数据层、业务层、移动端4个部分。</w:t>
      </w:r>
    </w:p>
    <w:p w:rsidR="00405F55" w:rsidRDefault="00000000">
      <w:pPr>
        <w:pStyle w:val="5"/>
        <w:spacing w:before="0" w:after="0" w:line="360" w:lineRule="auto"/>
        <w:rPr>
          <w:rFonts w:ascii="宋体" w:eastAsia="宋体" w:hAnsi="宋体" w:cs="宋体"/>
          <w:sz w:val="24"/>
          <w:lang w:eastAsia="zh-CN"/>
        </w:rPr>
      </w:pPr>
      <w:bookmarkStart w:id="120" w:name="_Toc18557"/>
      <w:r>
        <w:rPr>
          <w:rFonts w:ascii="宋体" w:eastAsia="宋体" w:hAnsi="宋体" w:cs="宋体" w:hint="eastAsia"/>
          <w:sz w:val="24"/>
          <w:lang w:eastAsia="zh-CN"/>
        </w:rPr>
        <w:t>6.3.1.1软硬件环境</w:t>
      </w:r>
      <w:bookmarkEnd w:id="120"/>
    </w:p>
    <w:p w:rsidR="00405F55" w:rsidRDefault="00000000">
      <w:pPr>
        <w:pStyle w:val="12"/>
        <w:spacing w:line="360" w:lineRule="auto"/>
        <w:ind w:firstLine="442"/>
        <w:rPr>
          <w:color w:val="231F20"/>
          <w:sz w:val="24"/>
          <w:szCs w:val="24"/>
        </w:rPr>
      </w:pPr>
      <w:r>
        <w:rPr>
          <w:color w:val="231F20"/>
          <w:sz w:val="24"/>
          <w:szCs w:val="24"/>
        </w:rPr>
        <w:t>以国产化软件及硬件为核心,基于云平台技术,按照高安全、高可用、高并发的设计原则,搭建土壤三普的软硬件基础设施环境,并符合网络安全等级保护三级的要求。主要包括购置相应的计算、存储、网络等基础设施,构建配套的安全、容灾、维护体系,为数据存储、检索、计算和分析运行提供环境基础。</w:t>
      </w:r>
    </w:p>
    <w:p w:rsidR="00405F55" w:rsidRDefault="00000000">
      <w:pPr>
        <w:pStyle w:val="5"/>
        <w:spacing w:before="0" w:after="0" w:line="360" w:lineRule="auto"/>
        <w:rPr>
          <w:rFonts w:ascii="宋体" w:eastAsia="宋体" w:hAnsi="宋体" w:cs="宋体"/>
          <w:sz w:val="24"/>
          <w:lang w:eastAsia="zh-CN"/>
        </w:rPr>
      </w:pPr>
      <w:bookmarkStart w:id="121" w:name="_Toc17511"/>
      <w:r>
        <w:rPr>
          <w:rFonts w:ascii="宋体" w:eastAsia="宋体" w:hAnsi="宋体" w:cs="宋体" w:hint="eastAsia"/>
          <w:sz w:val="24"/>
          <w:lang w:eastAsia="zh-CN"/>
        </w:rPr>
        <w:t>6.3.1.2数据层</w:t>
      </w:r>
      <w:bookmarkEnd w:id="121"/>
    </w:p>
    <w:p w:rsidR="00405F55" w:rsidRDefault="00000000">
      <w:pPr>
        <w:pStyle w:val="12"/>
        <w:spacing w:line="360" w:lineRule="auto"/>
        <w:ind w:firstLine="442"/>
        <w:rPr>
          <w:color w:val="231F20"/>
          <w:sz w:val="24"/>
          <w:szCs w:val="24"/>
        </w:rPr>
      </w:pPr>
      <w:r>
        <w:rPr>
          <w:color w:val="231F20"/>
          <w:sz w:val="24"/>
          <w:szCs w:val="24"/>
        </w:rPr>
        <w:t>数据层包括空间数据库与属性数据库,以及数据保密库与</w:t>
      </w:r>
      <w:proofErr w:type="gramStart"/>
      <w:r>
        <w:rPr>
          <w:color w:val="231F20"/>
          <w:sz w:val="24"/>
          <w:szCs w:val="24"/>
        </w:rPr>
        <w:t>脱密库</w:t>
      </w:r>
      <w:proofErr w:type="gramEnd"/>
      <w:r>
        <w:rPr>
          <w:color w:val="231F20"/>
          <w:sz w:val="24"/>
          <w:szCs w:val="24"/>
        </w:rPr>
        <w:t>等,构建数据保密库与脱密库有机结合、空间数据与属性数据无缝对接的时空数据库,建立有序的数据管理体系。详见</w:t>
      </w:r>
      <w:r>
        <w:rPr>
          <w:rFonts w:hint="eastAsia"/>
          <w:color w:val="231F20"/>
          <w:sz w:val="24"/>
          <w:szCs w:val="24"/>
          <w:lang w:val="en-US"/>
        </w:rPr>
        <w:t>《</w:t>
      </w:r>
      <w:r>
        <w:rPr>
          <w:color w:val="231F20"/>
          <w:sz w:val="24"/>
          <w:szCs w:val="24"/>
        </w:rPr>
        <w:t>第三次全国土壤普查数据库规范</w:t>
      </w:r>
      <w:r>
        <w:rPr>
          <w:rFonts w:hint="eastAsia"/>
          <w:color w:val="231F20"/>
          <w:sz w:val="24"/>
          <w:szCs w:val="24"/>
          <w:lang w:val="en-US"/>
        </w:rPr>
        <w:t>》</w:t>
      </w:r>
      <w:r>
        <w:rPr>
          <w:color w:val="231F20"/>
          <w:sz w:val="24"/>
          <w:szCs w:val="24"/>
        </w:rPr>
        <w:t>。</w:t>
      </w:r>
    </w:p>
    <w:p w:rsidR="00405F55" w:rsidRDefault="00000000">
      <w:pPr>
        <w:pStyle w:val="5"/>
        <w:spacing w:before="0" w:after="0" w:line="360" w:lineRule="auto"/>
        <w:rPr>
          <w:rFonts w:ascii="宋体" w:eastAsia="宋体" w:hAnsi="宋体" w:cs="宋体"/>
          <w:sz w:val="24"/>
          <w:lang w:eastAsia="zh-CN"/>
        </w:rPr>
      </w:pPr>
      <w:bookmarkStart w:id="122" w:name="_Toc25946"/>
      <w:r>
        <w:rPr>
          <w:rFonts w:ascii="宋体" w:eastAsia="宋体" w:hAnsi="宋体" w:cs="宋体" w:hint="eastAsia"/>
          <w:sz w:val="24"/>
          <w:lang w:eastAsia="zh-CN"/>
        </w:rPr>
        <w:t>6.3.1.3业务层</w:t>
      </w:r>
      <w:bookmarkEnd w:id="122"/>
    </w:p>
    <w:p w:rsidR="00405F55" w:rsidRDefault="00000000">
      <w:pPr>
        <w:pStyle w:val="12"/>
        <w:spacing w:line="360" w:lineRule="auto"/>
        <w:ind w:firstLine="442"/>
        <w:rPr>
          <w:color w:val="231F20"/>
          <w:sz w:val="24"/>
          <w:szCs w:val="24"/>
        </w:rPr>
      </w:pPr>
      <w:r>
        <w:rPr>
          <w:color w:val="231F20"/>
          <w:sz w:val="24"/>
          <w:szCs w:val="24"/>
        </w:rPr>
        <w:t>按照“样点管理-调查采样-样品制备-测试化验-质量控制-全程追溯”核心普查业务流程，构建专业高效的业务工作平台，包括任务进展（一张图）、样点任务管理、样品制备管理、样品检测管理、全程质量控制、技术指导、全程追溯等功能模块，分不同用户层级设置相应权限，实现土壤三普工作全流程、全对象、</w:t>
      </w:r>
      <w:proofErr w:type="gramStart"/>
      <w:r>
        <w:rPr>
          <w:color w:val="231F20"/>
          <w:sz w:val="24"/>
          <w:szCs w:val="24"/>
        </w:rPr>
        <w:t>全用户</w:t>
      </w:r>
      <w:proofErr w:type="gramEnd"/>
      <w:r>
        <w:rPr>
          <w:color w:val="231F20"/>
          <w:sz w:val="24"/>
          <w:szCs w:val="24"/>
        </w:rPr>
        <w:t>的数字化管理。</w:t>
      </w:r>
    </w:p>
    <w:p w:rsidR="00405F55" w:rsidRDefault="00000000">
      <w:pPr>
        <w:pStyle w:val="5"/>
        <w:spacing w:before="0" w:after="0" w:line="360" w:lineRule="auto"/>
        <w:rPr>
          <w:rFonts w:ascii="宋体" w:eastAsia="宋体" w:hAnsi="宋体" w:cs="宋体"/>
          <w:sz w:val="24"/>
          <w:lang w:eastAsia="zh-CN"/>
        </w:rPr>
      </w:pPr>
      <w:bookmarkStart w:id="123" w:name="_Toc31260"/>
      <w:r>
        <w:rPr>
          <w:rFonts w:ascii="宋体" w:eastAsia="宋体" w:hAnsi="宋体" w:cs="宋体" w:hint="eastAsia"/>
          <w:sz w:val="24"/>
          <w:lang w:eastAsia="zh-CN"/>
        </w:rPr>
        <w:t>6.3.1.4移动端</w:t>
      </w:r>
      <w:bookmarkEnd w:id="123"/>
    </w:p>
    <w:p w:rsidR="00405F55" w:rsidRDefault="00000000">
      <w:pPr>
        <w:pStyle w:val="12"/>
        <w:spacing w:line="360" w:lineRule="auto"/>
        <w:ind w:firstLine="442"/>
        <w:rPr>
          <w:color w:val="231F20"/>
          <w:sz w:val="24"/>
          <w:szCs w:val="24"/>
        </w:rPr>
      </w:pPr>
      <w:r>
        <w:rPr>
          <w:color w:val="231F20"/>
          <w:sz w:val="24"/>
          <w:szCs w:val="24"/>
        </w:rPr>
        <w:t>根据外业调查采样和</w:t>
      </w:r>
      <w:proofErr w:type="gramStart"/>
      <w:r>
        <w:rPr>
          <w:color w:val="231F20"/>
          <w:sz w:val="24"/>
          <w:szCs w:val="24"/>
        </w:rPr>
        <w:t>样品接样分</w:t>
      </w:r>
      <w:proofErr w:type="gramEnd"/>
      <w:r>
        <w:rPr>
          <w:color w:val="231F20"/>
          <w:sz w:val="24"/>
          <w:szCs w:val="24"/>
        </w:rPr>
        <w:t>样的实时性需求，采用专业的移动设备，定制开发“调查采样</w:t>
      </w:r>
      <w:r>
        <w:rPr>
          <w:color w:val="231F20"/>
          <w:sz w:val="24"/>
          <w:szCs w:val="24"/>
          <w:lang w:val="en-US"/>
        </w:rPr>
        <w:t>App”</w:t>
      </w:r>
      <w:r>
        <w:rPr>
          <w:color w:val="231F20"/>
          <w:sz w:val="24"/>
          <w:szCs w:val="24"/>
        </w:rPr>
        <w:t>“样品流转</w:t>
      </w:r>
      <w:r>
        <w:rPr>
          <w:color w:val="231F20"/>
          <w:sz w:val="24"/>
          <w:szCs w:val="24"/>
          <w:lang w:val="en-US"/>
        </w:rPr>
        <w:t>App”</w:t>
      </w:r>
      <w:r>
        <w:rPr>
          <w:color w:val="231F20"/>
          <w:sz w:val="24"/>
          <w:szCs w:val="24"/>
        </w:rPr>
        <w:t>“质量控制</w:t>
      </w:r>
      <w:r>
        <w:rPr>
          <w:color w:val="231F20"/>
          <w:sz w:val="24"/>
          <w:szCs w:val="24"/>
          <w:lang w:val="en-US"/>
        </w:rPr>
        <w:t>App”，</w:t>
      </w:r>
      <w:r>
        <w:rPr>
          <w:color w:val="231F20"/>
          <w:sz w:val="24"/>
          <w:szCs w:val="24"/>
        </w:rPr>
        <w:t>实现在线或离线的方式与业务平台的数据对接。</w:t>
      </w:r>
      <w:r>
        <w:rPr>
          <w:color w:val="231F20"/>
          <w:sz w:val="24"/>
          <w:szCs w:val="24"/>
          <w:lang w:val="en-US"/>
        </w:rPr>
        <w:t>APP</w:t>
      </w:r>
      <w:r>
        <w:rPr>
          <w:color w:val="231F20"/>
          <w:sz w:val="24"/>
          <w:szCs w:val="24"/>
        </w:rPr>
        <w:t>的功能模块如下。</w:t>
      </w:r>
    </w:p>
    <w:p w:rsidR="00405F55" w:rsidRDefault="00000000">
      <w:pPr>
        <w:pStyle w:val="12"/>
        <w:spacing w:line="360" w:lineRule="auto"/>
        <w:ind w:firstLine="442"/>
        <w:rPr>
          <w:color w:val="231F20"/>
          <w:sz w:val="24"/>
          <w:szCs w:val="24"/>
        </w:rPr>
      </w:pPr>
      <w:r>
        <w:rPr>
          <w:color w:val="231F20"/>
          <w:sz w:val="24"/>
          <w:szCs w:val="24"/>
        </w:rPr>
        <w:t>调查采样</w:t>
      </w:r>
      <w:r>
        <w:rPr>
          <w:color w:val="231F20"/>
          <w:sz w:val="24"/>
          <w:szCs w:val="24"/>
          <w:lang w:val="en-US"/>
        </w:rPr>
        <w:t>App：</w:t>
      </w:r>
      <w:r>
        <w:rPr>
          <w:color w:val="231F20"/>
          <w:sz w:val="24"/>
          <w:szCs w:val="24"/>
        </w:rPr>
        <w:t>主要有样点任务认领、样点任务变更、样点导航、</w:t>
      </w:r>
      <w:proofErr w:type="gramStart"/>
      <w:r>
        <w:rPr>
          <w:color w:val="231F20"/>
          <w:sz w:val="24"/>
          <w:szCs w:val="24"/>
        </w:rPr>
        <w:t>扫码绑定</w:t>
      </w:r>
      <w:proofErr w:type="gramEnd"/>
      <w:r>
        <w:rPr>
          <w:color w:val="231F20"/>
          <w:sz w:val="24"/>
          <w:szCs w:val="24"/>
        </w:rPr>
        <w:t>、数据记录、数据离线保存、数据提交、样品装箱、样品寄送等功能模块。</w:t>
      </w:r>
    </w:p>
    <w:p w:rsidR="00405F55" w:rsidRDefault="00000000">
      <w:pPr>
        <w:pStyle w:val="12"/>
        <w:spacing w:line="360" w:lineRule="auto"/>
        <w:ind w:firstLine="442"/>
        <w:rPr>
          <w:color w:val="231F20"/>
          <w:sz w:val="24"/>
          <w:szCs w:val="24"/>
        </w:rPr>
      </w:pPr>
      <w:r>
        <w:rPr>
          <w:color w:val="231F20"/>
          <w:sz w:val="24"/>
          <w:szCs w:val="24"/>
        </w:rPr>
        <w:t>样品流转</w:t>
      </w:r>
      <w:r>
        <w:rPr>
          <w:color w:val="231F20"/>
          <w:sz w:val="24"/>
          <w:szCs w:val="24"/>
          <w:lang w:val="en-US"/>
        </w:rPr>
        <w:t>App：</w:t>
      </w:r>
      <w:r>
        <w:rPr>
          <w:color w:val="231F20"/>
          <w:sz w:val="24"/>
          <w:szCs w:val="24"/>
        </w:rPr>
        <w:t>主要有样品流转进展查询，样品接收，制备样品转码、装箱、寄送与接收，样品接收反馈等功能模块。</w:t>
      </w:r>
    </w:p>
    <w:p w:rsidR="00405F55" w:rsidRDefault="00000000">
      <w:pPr>
        <w:pStyle w:val="12"/>
        <w:spacing w:line="360" w:lineRule="auto"/>
        <w:ind w:firstLine="442"/>
        <w:rPr>
          <w:color w:val="231F20"/>
          <w:sz w:val="24"/>
          <w:szCs w:val="24"/>
        </w:rPr>
      </w:pPr>
      <w:r>
        <w:rPr>
          <w:color w:val="231F20"/>
          <w:sz w:val="24"/>
          <w:szCs w:val="24"/>
        </w:rPr>
        <w:t>质量控制</w:t>
      </w:r>
      <w:r>
        <w:rPr>
          <w:color w:val="231F20"/>
          <w:sz w:val="24"/>
          <w:szCs w:val="24"/>
          <w:lang w:val="en-US"/>
        </w:rPr>
        <w:t>App：</w:t>
      </w:r>
      <w:r>
        <w:rPr>
          <w:color w:val="231F20"/>
          <w:sz w:val="24"/>
          <w:szCs w:val="24"/>
        </w:rPr>
        <w:t>主要有调查采样的现场影像与电子围栏等样点信息核对、样品制备流</w:t>
      </w:r>
      <w:r>
        <w:rPr>
          <w:color w:val="231F20"/>
          <w:sz w:val="24"/>
          <w:szCs w:val="24"/>
        </w:rPr>
        <w:lastRenderedPageBreak/>
        <w:t>转保存检查、测试化验飞行检查、检测指标比对与数据阈值等功能模块。</w:t>
      </w:r>
    </w:p>
    <w:p w:rsidR="00405F55" w:rsidRDefault="00000000">
      <w:pPr>
        <w:pStyle w:val="34"/>
        <w:keepNext/>
        <w:keepLines/>
        <w:tabs>
          <w:tab w:val="left" w:pos="734"/>
        </w:tabs>
        <w:spacing w:line="314" w:lineRule="exact"/>
        <w:outlineLvl w:val="3"/>
        <w:rPr>
          <w:bCs w:val="0"/>
          <w:sz w:val="24"/>
          <w:szCs w:val="24"/>
          <w:lang w:val="en-US" w:bidi="en-US"/>
        </w:rPr>
      </w:pPr>
      <w:bookmarkStart w:id="124" w:name="bookmark121"/>
      <w:bookmarkStart w:id="125" w:name="_Toc29684"/>
      <w:r>
        <w:rPr>
          <w:rFonts w:hint="eastAsia"/>
          <w:bCs w:val="0"/>
          <w:sz w:val="24"/>
          <w:szCs w:val="24"/>
          <w:lang w:val="en-US" w:bidi="en-US"/>
        </w:rPr>
        <w:t>6.3.2省级土壤普查工作信息化应用</w:t>
      </w:r>
      <w:bookmarkEnd w:id="124"/>
      <w:bookmarkEnd w:id="125"/>
    </w:p>
    <w:p w:rsidR="00405F55" w:rsidRDefault="00000000">
      <w:pPr>
        <w:pStyle w:val="12"/>
        <w:spacing w:line="360" w:lineRule="auto"/>
        <w:ind w:firstLine="442"/>
        <w:rPr>
          <w:color w:val="231F20"/>
          <w:sz w:val="24"/>
          <w:szCs w:val="24"/>
        </w:rPr>
      </w:pPr>
      <w:r>
        <w:rPr>
          <w:color w:val="231F20"/>
          <w:sz w:val="24"/>
          <w:szCs w:val="24"/>
        </w:rPr>
        <w:t>利用全国统一工作平台为省级用户开放相应的功能及权限，实现各类数据直接上传存储、业务管理实时在线。省级购置与国家级平台配套的移动终端设备，利用终端设备内置的“调查采样</w:t>
      </w:r>
      <w:r>
        <w:rPr>
          <w:color w:val="231F20"/>
          <w:sz w:val="24"/>
          <w:szCs w:val="24"/>
          <w:lang w:val="en-US"/>
        </w:rPr>
        <w:t>App”</w:t>
      </w:r>
      <w:r>
        <w:rPr>
          <w:color w:val="231F20"/>
          <w:sz w:val="24"/>
          <w:szCs w:val="24"/>
        </w:rPr>
        <w:t>“样品流转</w:t>
      </w:r>
      <w:r>
        <w:rPr>
          <w:color w:val="231F20"/>
          <w:sz w:val="24"/>
          <w:szCs w:val="24"/>
          <w:lang w:val="en-US"/>
        </w:rPr>
        <w:t>App”</w:t>
      </w:r>
      <w:r>
        <w:rPr>
          <w:color w:val="231F20"/>
          <w:sz w:val="24"/>
          <w:szCs w:val="24"/>
        </w:rPr>
        <w:t>“质量控制</w:t>
      </w:r>
      <w:r>
        <w:rPr>
          <w:color w:val="231F20"/>
          <w:sz w:val="24"/>
          <w:szCs w:val="24"/>
          <w:lang w:val="en-US"/>
        </w:rPr>
        <w:t>App”</w:t>
      </w:r>
      <w:r>
        <w:rPr>
          <w:color w:val="231F20"/>
          <w:sz w:val="24"/>
          <w:szCs w:val="24"/>
        </w:rPr>
        <w:t>模块，完成调查采样、样品管理、质量控制等业务管理工作。</w:t>
      </w:r>
    </w:p>
    <w:p w:rsidR="00405F55" w:rsidRDefault="00000000">
      <w:pPr>
        <w:pStyle w:val="12"/>
        <w:spacing w:line="360" w:lineRule="auto"/>
        <w:ind w:firstLine="442"/>
        <w:rPr>
          <w:color w:val="231F20"/>
          <w:sz w:val="24"/>
          <w:szCs w:val="24"/>
        </w:rPr>
      </w:pPr>
      <w:r>
        <w:rPr>
          <w:color w:val="231F20"/>
          <w:sz w:val="24"/>
          <w:szCs w:val="24"/>
        </w:rPr>
        <w:t>在全国统一工作平台下，省级依据全国工作平台和数据库的规范要求，可开发满足本省特性化的子平台，进行数据的分布存储和成果的扩展应用；同时实现省级平台与全国平台之间的数据共享交换。</w:t>
      </w:r>
    </w:p>
    <w:p w:rsidR="00405F55" w:rsidRDefault="00000000">
      <w:pPr>
        <w:pStyle w:val="12"/>
        <w:spacing w:line="360" w:lineRule="auto"/>
        <w:ind w:firstLine="442"/>
        <w:rPr>
          <w:color w:val="231F20"/>
          <w:sz w:val="24"/>
          <w:szCs w:val="24"/>
        </w:rPr>
      </w:pPr>
      <w:r>
        <w:rPr>
          <w:color w:val="231F20"/>
          <w:sz w:val="24"/>
          <w:szCs w:val="24"/>
        </w:rPr>
        <w:t>省级三普数据库存储环境，存放基础数据（如工作底图、样点等）和普查数据库时，需要有相应的保密环境和硬件设备；部分数据需要使用农业专网进行加密传输。</w:t>
      </w:r>
    </w:p>
    <w:p w:rsidR="00405F55" w:rsidRDefault="00000000">
      <w:pPr>
        <w:pStyle w:val="1"/>
        <w:spacing w:before="0" w:after="0" w:line="360" w:lineRule="auto"/>
        <w:rPr>
          <w:rFonts w:ascii="微软雅黑" w:eastAsia="微软雅黑" w:hAnsi="微软雅黑" w:cs="微软雅黑"/>
          <w:sz w:val="32"/>
          <w:szCs w:val="32"/>
          <w:lang w:eastAsia="zh-CN"/>
        </w:rPr>
      </w:pPr>
      <w:bookmarkStart w:id="126" w:name="_Toc16704"/>
      <w:r>
        <w:rPr>
          <w:rFonts w:ascii="微软雅黑" w:eastAsia="微软雅黑" w:hAnsi="微软雅黑" w:cs="微软雅黑" w:hint="eastAsia"/>
          <w:sz w:val="32"/>
          <w:szCs w:val="32"/>
          <w:lang w:eastAsia="zh-CN"/>
        </w:rPr>
        <w:t>7 土壤普查试点</w:t>
      </w:r>
      <w:bookmarkEnd w:id="126"/>
    </w:p>
    <w:p w:rsidR="00405F55" w:rsidRDefault="00000000">
      <w:pPr>
        <w:pStyle w:val="2"/>
        <w:spacing w:before="0" w:after="0" w:line="360" w:lineRule="auto"/>
        <w:rPr>
          <w:rFonts w:ascii="宋体" w:eastAsia="宋体" w:hAnsi="宋体" w:cs="宋体"/>
          <w:sz w:val="30"/>
          <w:szCs w:val="30"/>
          <w:lang w:eastAsia="zh-CN"/>
        </w:rPr>
      </w:pPr>
      <w:bookmarkStart w:id="127" w:name="_Toc16211"/>
      <w:r>
        <w:rPr>
          <w:rFonts w:ascii="宋体" w:eastAsia="宋体" w:hAnsi="宋体" w:cs="宋体" w:hint="eastAsia"/>
          <w:sz w:val="30"/>
          <w:szCs w:val="30"/>
          <w:lang w:eastAsia="zh-CN"/>
        </w:rPr>
        <w:t>7.1试点区域选定</w:t>
      </w:r>
      <w:bookmarkEnd w:id="127"/>
    </w:p>
    <w:p w:rsidR="00405F55" w:rsidRDefault="00000000">
      <w:pPr>
        <w:pStyle w:val="12"/>
        <w:spacing w:line="360" w:lineRule="auto"/>
        <w:ind w:firstLine="442"/>
        <w:rPr>
          <w:color w:val="231F20"/>
          <w:sz w:val="24"/>
          <w:szCs w:val="24"/>
        </w:rPr>
      </w:pPr>
      <w:r>
        <w:rPr>
          <w:color w:val="231F20"/>
          <w:sz w:val="24"/>
          <w:szCs w:val="24"/>
        </w:rPr>
        <w:t>全国土壤普查办，在全国筛选具有代表性和相关条件的省份</w:t>
      </w:r>
      <w:proofErr w:type="gramStart"/>
      <w:r>
        <w:rPr>
          <w:color w:val="231F20"/>
          <w:sz w:val="24"/>
          <w:szCs w:val="24"/>
        </w:rPr>
        <w:t>实施省</w:t>
      </w:r>
      <w:proofErr w:type="gramEnd"/>
      <w:r>
        <w:rPr>
          <w:color w:val="231F20"/>
          <w:sz w:val="24"/>
          <w:szCs w:val="24"/>
        </w:rPr>
        <w:t>-市-县联动机制的不少于5个县的省级试点；其他省份各选择不少于1个具备条件的县（市、区）开展县级试点，验证和完善土壤三</w:t>
      </w:r>
      <w:proofErr w:type="gramStart"/>
      <w:r>
        <w:rPr>
          <w:color w:val="231F20"/>
          <w:sz w:val="24"/>
          <w:szCs w:val="24"/>
        </w:rPr>
        <w:t>普技术</w:t>
      </w:r>
      <w:proofErr w:type="gramEnd"/>
      <w:r>
        <w:rPr>
          <w:color w:val="231F20"/>
          <w:sz w:val="24"/>
          <w:szCs w:val="24"/>
        </w:rPr>
        <w:t>路线方法与技术规程规范。完成校核和</w:t>
      </w:r>
      <w:proofErr w:type="gramStart"/>
      <w:r>
        <w:rPr>
          <w:color w:val="231F20"/>
          <w:sz w:val="24"/>
          <w:szCs w:val="24"/>
        </w:rPr>
        <w:t>完善二普</w:t>
      </w:r>
      <w:proofErr w:type="gramEnd"/>
      <w:r>
        <w:rPr>
          <w:color w:val="231F20"/>
          <w:sz w:val="24"/>
          <w:szCs w:val="24"/>
        </w:rPr>
        <w:t>土壤分类成果。推动全国盐碱地普查优先开展。</w:t>
      </w:r>
    </w:p>
    <w:p w:rsidR="00405F55" w:rsidRDefault="00000000">
      <w:pPr>
        <w:pStyle w:val="2"/>
        <w:spacing w:before="0" w:after="0" w:line="360" w:lineRule="auto"/>
        <w:rPr>
          <w:rFonts w:ascii="宋体" w:eastAsia="宋体" w:hAnsi="宋体" w:cs="宋体"/>
          <w:sz w:val="30"/>
          <w:szCs w:val="30"/>
          <w:lang w:eastAsia="zh-CN"/>
        </w:rPr>
      </w:pPr>
      <w:bookmarkStart w:id="128" w:name="_Toc4069"/>
      <w:r>
        <w:rPr>
          <w:rFonts w:ascii="宋体" w:eastAsia="宋体" w:hAnsi="宋体" w:cs="宋体" w:hint="eastAsia"/>
          <w:sz w:val="30"/>
          <w:szCs w:val="30"/>
          <w:lang w:eastAsia="zh-CN"/>
        </w:rPr>
        <w:t>7.2培训普查技术队伍</w:t>
      </w:r>
      <w:bookmarkEnd w:id="128"/>
    </w:p>
    <w:p w:rsidR="00405F55" w:rsidRDefault="00000000">
      <w:pPr>
        <w:pStyle w:val="12"/>
        <w:spacing w:line="360" w:lineRule="auto"/>
        <w:ind w:firstLine="442"/>
        <w:rPr>
          <w:color w:val="231F20"/>
          <w:sz w:val="24"/>
          <w:szCs w:val="24"/>
        </w:rPr>
      </w:pPr>
      <w:r>
        <w:rPr>
          <w:color w:val="231F20"/>
          <w:sz w:val="24"/>
          <w:szCs w:val="24"/>
        </w:rPr>
        <w:t>全国土壤普查办组织专家，选择1个或几个试点县，结合试点现场对国家级技术专家组成员、省级普查师资队伍（省级技术专家组成员）、省级技术及管理人员等，开展土壤普查的工作平台、数据库、外业调查采样、内业测试化验、质量控制、成果汇总等环节的技术培训，制作普查工作网络课件等资料，明确普查工作的总体思路、技术路线、重点任务、工作要求等，为省级进一步开展技术培训、技术指导、质量控制等提供技术支撑。</w:t>
      </w:r>
    </w:p>
    <w:p w:rsidR="00405F55" w:rsidRDefault="00000000">
      <w:pPr>
        <w:pStyle w:val="12"/>
        <w:spacing w:line="360" w:lineRule="auto"/>
        <w:ind w:firstLine="442"/>
        <w:rPr>
          <w:color w:val="231F20"/>
          <w:sz w:val="24"/>
          <w:szCs w:val="24"/>
        </w:rPr>
      </w:pPr>
      <w:r>
        <w:rPr>
          <w:color w:val="231F20"/>
          <w:sz w:val="24"/>
          <w:szCs w:val="24"/>
        </w:rPr>
        <w:t>各省根据本区域的试点工作需要，可进一步组织开展普查技术队伍的培训工作。</w:t>
      </w:r>
    </w:p>
    <w:p w:rsidR="00405F55" w:rsidRDefault="00000000">
      <w:pPr>
        <w:pStyle w:val="2"/>
        <w:spacing w:before="0" w:after="0" w:line="360" w:lineRule="auto"/>
        <w:rPr>
          <w:rFonts w:ascii="宋体" w:eastAsia="宋体" w:hAnsi="宋体" w:cs="宋体"/>
          <w:sz w:val="30"/>
          <w:szCs w:val="30"/>
          <w:lang w:eastAsia="zh-CN"/>
        </w:rPr>
      </w:pPr>
      <w:bookmarkStart w:id="129" w:name="_Toc1984"/>
      <w:r>
        <w:rPr>
          <w:rFonts w:ascii="宋体" w:eastAsia="宋体" w:hAnsi="宋体" w:cs="宋体" w:hint="eastAsia"/>
          <w:sz w:val="30"/>
          <w:szCs w:val="30"/>
          <w:lang w:eastAsia="zh-CN"/>
        </w:rPr>
        <w:t>7.3制定试点工作方案</w:t>
      </w:r>
      <w:bookmarkEnd w:id="129"/>
    </w:p>
    <w:p w:rsidR="00405F55" w:rsidRDefault="00000000">
      <w:pPr>
        <w:pStyle w:val="12"/>
        <w:spacing w:line="360" w:lineRule="auto"/>
        <w:ind w:firstLine="442"/>
        <w:rPr>
          <w:color w:val="231F20"/>
          <w:sz w:val="24"/>
          <w:szCs w:val="24"/>
        </w:rPr>
      </w:pPr>
      <w:r>
        <w:rPr>
          <w:color w:val="231F20"/>
          <w:sz w:val="24"/>
          <w:szCs w:val="24"/>
        </w:rPr>
        <w:t>全国土壤普查办按照普查试点的目标任务，按照</w:t>
      </w:r>
      <w:r>
        <w:rPr>
          <w:rFonts w:hint="eastAsia"/>
          <w:color w:val="231F20"/>
          <w:sz w:val="24"/>
          <w:szCs w:val="24"/>
          <w:lang w:val="en-US"/>
        </w:rPr>
        <w:t>《</w:t>
      </w:r>
      <w:r>
        <w:rPr>
          <w:color w:val="231F20"/>
          <w:sz w:val="24"/>
          <w:szCs w:val="24"/>
        </w:rPr>
        <w:t>第三次全国土壤普查工作方案</w:t>
      </w:r>
      <w:r>
        <w:rPr>
          <w:rFonts w:hint="eastAsia"/>
          <w:color w:val="231F20"/>
          <w:sz w:val="24"/>
          <w:szCs w:val="24"/>
          <w:lang w:val="en-US"/>
        </w:rPr>
        <w:t>》</w:t>
      </w:r>
      <w:r>
        <w:rPr>
          <w:color w:val="231F20"/>
          <w:sz w:val="24"/>
          <w:szCs w:val="24"/>
        </w:rPr>
        <w:t>和土壤三</w:t>
      </w:r>
      <w:proofErr w:type="gramStart"/>
      <w:r>
        <w:rPr>
          <w:color w:val="231F20"/>
          <w:sz w:val="24"/>
          <w:szCs w:val="24"/>
        </w:rPr>
        <w:t>普技术</w:t>
      </w:r>
      <w:proofErr w:type="gramEnd"/>
      <w:r>
        <w:rPr>
          <w:color w:val="231F20"/>
          <w:sz w:val="24"/>
          <w:szCs w:val="24"/>
        </w:rPr>
        <w:t>规程规范等要求，制定«第三次全国土壤普查试点工作方案»,明确试点的工作内容、技术路线、技术标准与方法等要求，并督促土壤普查技术支撑单位，落实好</w:t>
      </w:r>
      <w:r>
        <w:rPr>
          <w:color w:val="231F20"/>
          <w:sz w:val="24"/>
          <w:szCs w:val="24"/>
        </w:rPr>
        <w:lastRenderedPageBreak/>
        <w:t>普查技术规程与专项技术规范修订、实验室筛选、工作底图、数据库、普查平台等试点前期准备工作。</w:t>
      </w:r>
    </w:p>
    <w:p w:rsidR="00405F55" w:rsidRDefault="00000000">
      <w:pPr>
        <w:pStyle w:val="12"/>
        <w:spacing w:line="360" w:lineRule="auto"/>
        <w:ind w:firstLine="442"/>
        <w:rPr>
          <w:color w:val="231F20"/>
          <w:sz w:val="24"/>
          <w:szCs w:val="24"/>
        </w:rPr>
      </w:pPr>
      <w:r>
        <w:rPr>
          <w:color w:val="231F20"/>
          <w:sz w:val="24"/>
          <w:szCs w:val="24"/>
        </w:rPr>
        <w:t>各省级土壤普查办根据«第三次全国土壤普查试点工作方案»,制定本省的土壤普查试点工作方案；省级试点工作方案需明确普查各环节任务的时限和质量要求。各省根据实际需要，建立数据传输与存储中心，组建外业调查队(含采样工具)，并组织开展技术培训、业务练兵、质量控制等。</w:t>
      </w:r>
    </w:p>
    <w:p w:rsidR="00405F55" w:rsidRDefault="00000000">
      <w:pPr>
        <w:pStyle w:val="2"/>
        <w:spacing w:before="0" w:after="0" w:line="360" w:lineRule="auto"/>
        <w:rPr>
          <w:rFonts w:ascii="宋体" w:eastAsia="宋体" w:hAnsi="宋体" w:cs="宋体"/>
          <w:sz w:val="30"/>
          <w:szCs w:val="30"/>
          <w:lang w:eastAsia="zh-CN"/>
        </w:rPr>
      </w:pPr>
      <w:bookmarkStart w:id="130" w:name="_Toc17832"/>
      <w:r>
        <w:rPr>
          <w:rFonts w:ascii="宋体" w:eastAsia="宋体" w:hAnsi="宋体" w:cs="宋体" w:hint="eastAsia"/>
          <w:sz w:val="30"/>
          <w:szCs w:val="30"/>
          <w:lang w:eastAsia="zh-CN"/>
        </w:rPr>
        <w:t>7.4开展试点</w:t>
      </w:r>
      <w:bookmarkEnd w:id="130"/>
    </w:p>
    <w:p w:rsidR="00405F55" w:rsidRDefault="00000000">
      <w:pPr>
        <w:pStyle w:val="12"/>
        <w:spacing w:line="360" w:lineRule="auto"/>
        <w:ind w:firstLine="442"/>
        <w:rPr>
          <w:color w:val="231F20"/>
          <w:sz w:val="24"/>
          <w:szCs w:val="24"/>
        </w:rPr>
      </w:pPr>
      <w:r>
        <w:rPr>
          <w:color w:val="231F20"/>
          <w:sz w:val="24"/>
          <w:szCs w:val="24"/>
        </w:rPr>
        <w:t>按照土壤三</w:t>
      </w:r>
      <w:proofErr w:type="gramStart"/>
      <w:r>
        <w:rPr>
          <w:color w:val="231F20"/>
          <w:sz w:val="24"/>
          <w:szCs w:val="24"/>
        </w:rPr>
        <w:t>普技术</w:t>
      </w:r>
      <w:proofErr w:type="gramEnd"/>
      <w:r>
        <w:rPr>
          <w:color w:val="231F20"/>
          <w:sz w:val="24"/>
          <w:szCs w:val="24"/>
        </w:rPr>
        <w:t>规程与技术规范等要求，2022年开展普查试点。3月底前，完成试点县和盐碱地普查县样点规划布设工作；</w:t>
      </w:r>
      <w:r>
        <w:rPr>
          <w:color w:val="231F20"/>
          <w:sz w:val="24"/>
          <w:szCs w:val="24"/>
          <w:lang w:val="en-US"/>
        </w:rPr>
        <w:t>4—9</w:t>
      </w:r>
      <w:r>
        <w:rPr>
          <w:color w:val="231F20"/>
          <w:sz w:val="24"/>
          <w:szCs w:val="24"/>
        </w:rPr>
        <w:t>月，完成外业调查采样工作；</w:t>
      </w:r>
      <w:r>
        <w:rPr>
          <w:color w:val="231F20"/>
          <w:sz w:val="24"/>
          <w:szCs w:val="24"/>
          <w:lang w:val="en-US"/>
        </w:rPr>
        <w:t>5—10</w:t>
      </w:r>
      <w:r>
        <w:rPr>
          <w:color w:val="231F20"/>
          <w:sz w:val="24"/>
          <w:szCs w:val="24"/>
        </w:rPr>
        <w:t>月，完成内业测试化验工作;</w:t>
      </w:r>
      <w:r>
        <w:rPr>
          <w:color w:val="231F20"/>
          <w:sz w:val="24"/>
          <w:szCs w:val="24"/>
          <w:lang w:val="en-US"/>
        </w:rPr>
        <w:t>9—10</w:t>
      </w:r>
      <w:r>
        <w:rPr>
          <w:color w:val="231F20"/>
          <w:sz w:val="24"/>
          <w:szCs w:val="24"/>
        </w:rPr>
        <w:t>月，补充样品采集及分析化验；</w:t>
      </w:r>
      <w:r>
        <w:rPr>
          <w:color w:val="231F20"/>
          <w:sz w:val="24"/>
          <w:szCs w:val="24"/>
          <w:lang w:val="en-US"/>
        </w:rPr>
        <w:t>10—11</w:t>
      </w:r>
      <w:r>
        <w:rPr>
          <w:color w:val="231F20"/>
          <w:sz w:val="24"/>
          <w:szCs w:val="24"/>
        </w:rPr>
        <w:t>月，数据审核与整理分析；</w:t>
      </w:r>
      <w:r>
        <w:rPr>
          <w:color w:val="231F20"/>
          <w:sz w:val="24"/>
          <w:szCs w:val="24"/>
          <w:lang w:val="en-US"/>
        </w:rPr>
        <w:t>11—12</w:t>
      </w:r>
      <w:r>
        <w:rPr>
          <w:color w:val="231F20"/>
          <w:sz w:val="24"/>
          <w:szCs w:val="24"/>
        </w:rPr>
        <w:t>月，编写试点工作总结和盐碱地普查工作报告。为保障试点工作进度与质量，农业农村系统统筹组织相关工作，试点完善如下内容。</w:t>
      </w:r>
    </w:p>
    <w:p w:rsidR="00405F55" w:rsidRDefault="00000000">
      <w:pPr>
        <w:pStyle w:val="12"/>
        <w:spacing w:line="360" w:lineRule="auto"/>
        <w:ind w:firstLine="442"/>
        <w:rPr>
          <w:color w:val="231F20"/>
          <w:sz w:val="24"/>
          <w:szCs w:val="24"/>
        </w:rPr>
      </w:pPr>
      <w:r>
        <w:rPr>
          <w:color w:val="231F20"/>
          <w:sz w:val="24"/>
          <w:szCs w:val="24"/>
        </w:rPr>
        <w:t>(1)外业调查采样。包括表层样与剖面样的调查采样方法，土壤类型外业核实与勾绘，样品包装、标识、运输，专家参与指导等。</w:t>
      </w:r>
    </w:p>
    <w:p w:rsidR="00405F55" w:rsidRDefault="00000000">
      <w:pPr>
        <w:pStyle w:val="12"/>
        <w:spacing w:line="360" w:lineRule="auto"/>
        <w:ind w:firstLine="442"/>
        <w:rPr>
          <w:color w:val="231F20"/>
          <w:sz w:val="24"/>
          <w:szCs w:val="24"/>
        </w:rPr>
      </w:pPr>
      <w:r>
        <w:rPr>
          <w:color w:val="231F20"/>
          <w:sz w:val="24"/>
          <w:szCs w:val="24"/>
        </w:rPr>
        <w:t>(2)内业测试化验。包括样品制备、流转、保存，测试化验指标与方法，数据质控、填报、汇交等。</w:t>
      </w:r>
    </w:p>
    <w:p w:rsidR="00405F55" w:rsidRDefault="00000000">
      <w:pPr>
        <w:pStyle w:val="12"/>
        <w:spacing w:line="360" w:lineRule="auto"/>
        <w:ind w:firstLine="442"/>
        <w:rPr>
          <w:color w:val="231F20"/>
          <w:sz w:val="24"/>
          <w:szCs w:val="24"/>
        </w:rPr>
      </w:pPr>
      <w:r>
        <w:rPr>
          <w:color w:val="231F20"/>
          <w:sz w:val="24"/>
          <w:szCs w:val="24"/>
        </w:rPr>
        <w:t>(3)全程质量控制。包括外业和内业的</w:t>
      </w:r>
      <w:proofErr w:type="gramStart"/>
      <w:r>
        <w:rPr>
          <w:color w:val="231F20"/>
          <w:sz w:val="24"/>
          <w:szCs w:val="24"/>
        </w:rPr>
        <w:t>内部质</w:t>
      </w:r>
      <w:proofErr w:type="gramEnd"/>
      <w:r>
        <w:rPr>
          <w:color w:val="231F20"/>
          <w:sz w:val="24"/>
          <w:szCs w:val="24"/>
        </w:rPr>
        <w:t>控与</w:t>
      </w:r>
      <w:proofErr w:type="gramStart"/>
      <w:r>
        <w:rPr>
          <w:color w:val="231F20"/>
          <w:sz w:val="24"/>
          <w:szCs w:val="24"/>
        </w:rPr>
        <w:t>外部质</w:t>
      </w:r>
      <w:proofErr w:type="gramEnd"/>
      <w:r>
        <w:rPr>
          <w:color w:val="231F20"/>
          <w:sz w:val="24"/>
          <w:szCs w:val="24"/>
        </w:rPr>
        <w:t>控环节与方法，及其质控效果。</w:t>
      </w:r>
    </w:p>
    <w:p w:rsidR="00405F55" w:rsidRDefault="00000000">
      <w:pPr>
        <w:pStyle w:val="12"/>
        <w:spacing w:line="360" w:lineRule="auto"/>
        <w:ind w:firstLine="442"/>
        <w:rPr>
          <w:color w:val="231F20"/>
          <w:sz w:val="24"/>
          <w:szCs w:val="24"/>
        </w:rPr>
      </w:pPr>
      <w:r>
        <w:rPr>
          <w:color w:val="231F20"/>
          <w:sz w:val="24"/>
          <w:szCs w:val="24"/>
        </w:rPr>
        <w:t>(4)成果汇总。包括县级数据库、图件、专题评价成果，技术与工作总结报告。</w:t>
      </w:r>
    </w:p>
    <w:p w:rsidR="00405F55" w:rsidRDefault="00000000">
      <w:pPr>
        <w:pStyle w:val="12"/>
        <w:spacing w:line="360" w:lineRule="auto"/>
        <w:ind w:firstLine="442"/>
        <w:rPr>
          <w:color w:val="231F20"/>
          <w:sz w:val="24"/>
          <w:szCs w:val="24"/>
        </w:rPr>
      </w:pPr>
      <w:r>
        <w:rPr>
          <w:color w:val="231F20"/>
          <w:sz w:val="24"/>
          <w:szCs w:val="24"/>
        </w:rPr>
        <w:t>(5)盐碱地调查。完成盐碱荒(草)地的土壤调查工作，摸清盐碱土类型、数量、空间分布、程度、成因等，汇总提交盐碱荒(草)地调查的数据库、图件、总结报告。</w:t>
      </w:r>
    </w:p>
    <w:p w:rsidR="00405F55" w:rsidRDefault="00000000">
      <w:pPr>
        <w:pStyle w:val="1"/>
        <w:spacing w:before="0" w:after="0" w:line="360" w:lineRule="auto"/>
        <w:rPr>
          <w:rFonts w:ascii="微软雅黑" w:eastAsia="微软雅黑" w:hAnsi="微软雅黑" w:cs="微软雅黑"/>
          <w:sz w:val="32"/>
          <w:szCs w:val="32"/>
          <w:lang w:eastAsia="zh-CN"/>
        </w:rPr>
      </w:pPr>
      <w:bookmarkStart w:id="131" w:name="_Toc13560"/>
      <w:r>
        <w:rPr>
          <w:rFonts w:ascii="微软雅黑" w:eastAsia="微软雅黑" w:hAnsi="微软雅黑" w:cs="微软雅黑" w:hint="eastAsia"/>
          <w:sz w:val="32"/>
          <w:szCs w:val="32"/>
          <w:lang w:eastAsia="zh-CN"/>
        </w:rPr>
        <w:t>8外业调查采样</w:t>
      </w:r>
      <w:bookmarkEnd w:id="131"/>
    </w:p>
    <w:p w:rsidR="00405F55" w:rsidRDefault="00000000">
      <w:pPr>
        <w:pStyle w:val="2"/>
        <w:spacing w:before="0" w:after="0" w:line="360" w:lineRule="auto"/>
        <w:rPr>
          <w:rFonts w:ascii="宋体" w:eastAsia="宋体" w:hAnsi="宋体" w:cs="宋体"/>
          <w:sz w:val="30"/>
          <w:szCs w:val="30"/>
          <w:lang w:eastAsia="zh-CN"/>
        </w:rPr>
      </w:pPr>
      <w:bookmarkStart w:id="132" w:name="_Toc24477"/>
      <w:r>
        <w:rPr>
          <w:rFonts w:ascii="宋体" w:eastAsia="宋体" w:hAnsi="宋体" w:cs="宋体" w:hint="eastAsia"/>
          <w:sz w:val="30"/>
          <w:szCs w:val="30"/>
          <w:lang w:eastAsia="zh-CN"/>
        </w:rPr>
        <w:t>8.1  外业调查与采样技术规范</w:t>
      </w:r>
      <w:bookmarkEnd w:id="132"/>
    </w:p>
    <w:p w:rsidR="00405F55" w:rsidRDefault="00000000">
      <w:pPr>
        <w:pStyle w:val="12"/>
        <w:spacing w:line="360" w:lineRule="auto"/>
        <w:ind w:firstLine="442"/>
        <w:rPr>
          <w:color w:val="231F20"/>
          <w:sz w:val="24"/>
          <w:szCs w:val="24"/>
        </w:rPr>
      </w:pPr>
      <w:r>
        <w:rPr>
          <w:color w:val="231F20"/>
          <w:sz w:val="24"/>
          <w:szCs w:val="24"/>
        </w:rPr>
        <w:t>全国土壤普查办，组织编写«第三次全国土壤普查外业调查与采样技术规范</w:t>
      </w:r>
      <w:proofErr w:type="gramStart"/>
      <w:r>
        <w:rPr>
          <w:color w:val="231F20"/>
          <w:sz w:val="24"/>
          <w:szCs w:val="24"/>
        </w:rPr>
        <w:t>》</w:t>
      </w:r>
      <w:proofErr w:type="gramEnd"/>
      <w:r>
        <w:rPr>
          <w:color w:val="231F20"/>
          <w:sz w:val="24"/>
          <w:szCs w:val="24"/>
        </w:rPr>
        <w:t>，明确样点现场确认、样点信息调查与填报、样品采集、样品包装与寄送等外业调查采样工作。</w:t>
      </w:r>
    </w:p>
    <w:p w:rsidR="00405F55" w:rsidRDefault="00000000">
      <w:pPr>
        <w:pStyle w:val="12"/>
        <w:spacing w:line="360" w:lineRule="auto"/>
        <w:ind w:firstLine="442"/>
        <w:rPr>
          <w:color w:val="231F20"/>
          <w:sz w:val="24"/>
          <w:szCs w:val="24"/>
        </w:rPr>
      </w:pPr>
      <w:r>
        <w:rPr>
          <w:color w:val="231F20"/>
          <w:sz w:val="24"/>
          <w:szCs w:val="24"/>
        </w:rPr>
        <w:t>各省级土壤普查办，落实本技术规范，制定适合本区域的外业调查与采样技术规范，负责组织开展本区域的外业调查采样工作。</w:t>
      </w:r>
    </w:p>
    <w:p w:rsidR="00405F55" w:rsidRDefault="00000000">
      <w:pPr>
        <w:pStyle w:val="2"/>
        <w:spacing w:before="0" w:after="0" w:line="360" w:lineRule="auto"/>
        <w:rPr>
          <w:rFonts w:ascii="宋体" w:eastAsia="宋体" w:hAnsi="宋体" w:cs="宋体"/>
          <w:sz w:val="30"/>
          <w:szCs w:val="30"/>
          <w:lang w:eastAsia="zh-CN"/>
        </w:rPr>
      </w:pPr>
      <w:bookmarkStart w:id="133" w:name="bookmark133"/>
      <w:bookmarkStart w:id="134" w:name="_Toc23264"/>
      <w:r>
        <w:rPr>
          <w:rFonts w:ascii="宋体" w:eastAsia="宋体" w:hAnsi="宋体" w:cs="宋体" w:hint="eastAsia"/>
          <w:sz w:val="30"/>
          <w:szCs w:val="30"/>
          <w:lang w:eastAsia="zh-CN"/>
        </w:rPr>
        <w:lastRenderedPageBreak/>
        <w:t>8.2  外业调查采样组织</w:t>
      </w:r>
      <w:bookmarkEnd w:id="133"/>
      <w:bookmarkEnd w:id="134"/>
    </w:p>
    <w:p w:rsidR="00405F55" w:rsidRDefault="00000000">
      <w:pPr>
        <w:pStyle w:val="34"/>
        <w:keepNext/>
        <w:keepLines/>
        <w:tabs>
          <w:tab w:val="left" w:pos="734"/>
        </w:tabs>
        <w:spacing w:line="314" w:lineRule="exact"/>
        <w:outlineLvl w:val="1"/>
        <w:rPr>
          <w:bCs w:val="0"/>
          <w:sz w:val="24"/>
          <w:szCs w:val="24"/>
          <w:lang w:val="en-US" w:bidi="en-US"/>
        </w:rPr>
      </w:pPr>
      <w:bookmarkStart w:id="135" w:name="_Toc2224"/>
      <w:r>
        <w:rPr>
          <w:rFonts w:hint="eastAsia"/>
          <w:bCs w:val="0"/>
          <w:sz w:val="24"/>
          <w:szCs w:val="24"/>
          <w:lang w:val="en-US" w:bidi="en-US"/>
        </w:rPr>
        <w:t>8.2.1  人员组织</w:t>
      </w:r>
      <w:bookmarkEnd w:id="135"/>
    </w:p>
    <w:p w:rsidR="00405F55" w:rsidRDefault="00000000">
      <w:pPr>
        <w:pStyle w:val="12"/>
        <w:spacing w:line="360" w:lineRule="auto"/>
        <w:ind w:firstLine="442"/>
        <w:rPr>
          <w:color w:val="231F20"/>
          <w:sz w:val="24"/>
          <w:szCs w:val="24"/>
        </w:rPr>
      </w:pPr>
      <w:r>
        <w:rPr>
          <w:color w:val="231F20"/>
          <w:sz w:val="24"/>
          <w:szCs w:val="24"/>
        </w:rPr>
        <w:t>各省负责组织开展外业调查与采样工作。各省级土壤普查办根据全国土壤普查办统一布设的样点和调查任务，负责组建专业外业调查队(每一支表层样点外业调查队人员组成中至少有1位参加过省级土壤普查办统一组织的外业调查培训并获得培训证书，以及1名县级相关专业技术人员；每一支剖面样点外业调查队人员组成中至少有1位参加过全国土壤普查办统一组织的外业调查培训并获得培训证书，以及1名县级相关专业技术人员)，制定外业调查采样计划，按照«第三次全国土壤普查外业调查与采样技术规范</w:t>
      </w:r>
      <w:proofErr w:type="gramStart"/>
      <w:r>
        <w:rPr>
          <w:color w:val="231F20"/>
          <w:sz w:val="24"/>
          <w:szCs w:val="24"/>
        </w:rPr>
        <w:t>》</w:t>
      </w:r>
      <w:proofErr w:type="gramEnd"/>
      <w:r>
        <w:rPr>
          <w:color w:val="231F20"/>
          <w:sz w:val="24"/>
          <w:szCs w:val="24"/>
        </w:rPr>
        <w:t>，开展样点现场确认、样点信息调查与填报、样品采集、样品包装与寄送等外业调查采样培训，落实外业调查采样的工作进度。</w:t>
      </w:r>
    </w:p>
    <w:p w:rsidR="00405F55" w:rsidRDefault="00000000">
      <w:pPr>
        <w:pStyle w:val="12"/>
        <w:spacing w:line="360" w:lineRule="auto"/>
        <w:ind w:firstLine="442"/>
      </w:pPr>
      <w:r>
        <w:rPr>
          <w:color w:val="231F20"/>
          <w:sz w:val="24"/>
          <w:szCs w:val="24"/>
        </w:rPr>
        <w:t>采集土壤剖面样点的外业调查队，须由熟悉土壤分类与制图的专家带队调查，重点负责挖掘土壤剖面、观察与记载剖面形态、采集剖面土壤样品与标本，开展土壤类型校核完善与边界勾绘等。</w:t>
      </w:r>
    </w:p>
    <w:p w:rsidR="00405F55" w:rsidRDefault="00000000">
      <w:pPr>
        <w:pStyle w:val="34"/>
        <w:keepNext/>
        <w:keepLines/>
        <w:tabs>
          <w:tab w:val="left" w:pos="734"/>
        </w:tabs>
        <w:spacing w:line="314" w:lineRule="exact"/>
        <w:outlineLvl w:val="1"/>
        <w:rPr>
          <w:bCs w:val="0"/>
          <w:sz w:val="24"/>
          <w:szCs w:val="24"/>
          <w:lang w:val="en-US" w:bidi="en-US"/>
        </w:rPr>
      </w:pPr>
      <w:bookmarkStart w:id="136" w:name="bookmark136"/>
      <w:bookmarkStart w:id="137" w:name="_Toc11496"/>
      <w:r>
        <w:rPr>
          <w:rFonts w:hint="eastAsia"/>
          <w:bCs w:val="0"/>
          <w:sz w:val="24"/>
          <w:szCs w:val="24"/>
          <w:lang w:val="en-US" w:bidi="en-US"/>
        </w:rPr>
        <w:t>8.2.2  工具准备</w:t>
      </w:r>
      <w:bookmarkEnd w:id="136"/>
      <w:bookmarkEnd w:id="137"/>
    </w:p>
    <w:p w:rsidR="00405F55" w:rsidRDefault="00000000">
      <w:pPr>
        <w:pStyle w:val="12"/>
        <w:spacing w:line="360" w:lineRule="auto"/>
        <w:ind w:firstLine="442"/>
        <w:rPr>
          <w:color w:val="231F20"/>
          <w:sz w:val="24"/>
          <w:szCs w:val="24"/>
        </w:rPr>
      </w:pPr>
      <w:r>
        <w:rPr>
          <w:color w:val="231F20"/>
          <w:sz w:val="24"/>
          <w:szCs w:val="24"/>
        </w:rPr>
        <w:t>各省（区、市）结合外业调查与采样要求，需准备信息化终端（如“调查采样</w:t>
      </w:r>
      <w:r>
        <w:rPr>
          <w:color w:val="231F20"/>
          <w:sz w:val="24"/>
          <w:szCs w:val="24"/>
          <w:lang w:val="en-US"/>
        </w:rPr>
        <w:t>App”</w:t>
      </w:r>
      <w:r>
        <w:rPr>
          <w:color w:val="231F20"/>
          <w:sz w:val="24"/>
          <w:szCs w:val="24"/>
        </w:rPr>
        <w:t>手持终端等）、摄录装备类、采样工具、样袋、剖面标本盒（整段与分段纸盒）、速测仪器（如土壤紧实度仪）、辅助材料、防护用具等，详见«第三次全国土壤普查外业调查与采样技术规范</w:t>
      </w:r>
      <w:proofErr w:type="gramStart"/>
      <w:r>
        <w:rPr>
          <w:color w:val="231F20"/>
          <w:sz w:val="24"/>
          <w:szCs w:val="24"/>
        </w:rPr>
        <w:t>》</w:t>
      </w:r>
      <w:proofErr w:type="gramEnd"/>
      <w:r>
        <w:rPr>
          <w:color w:val="231F20"/>
          <w:sz w:val="24"/>
          <w:szCs w:val="24"/>
        </w:rPr>
        <w:t>。</w:t>
      </w:r>
    </w:p>
    <w:p w:rsidR="00405F55" w:rsidRDefault="00000000">
      <w:pPr>
        <w:pStyle w:val="34"/>
        <w:keepNext/>
        <w:keepLines/>
        <w:tabs>
          <w:tab w:val="left" w:pos="734"/>
        </w:tabs>
        <w:spacing w:line="314" w:lineRule="exact"/>
        <w:outlineLvl w:val="1"/>
        <w:rPr>
          <w:bCs w:val="0"/>
          <w:sz w:val="24"/>
          <w:szCs w:val="24"/>
          <w:lang w:val="en-US" w:bidi="en-US"/>
        </w:rPr>
      </w:pPr>
      <w:bookmarkStart w:id="138" w:name="bookmark138"/>
      <w:bookmarkStart w:id="139" w:name="_Toc20986"/>
      <w:r>
        <w:rPr>
          <w:rFonts w:hint="eastAsia"/>
          <w:bCs w:val="0"/>
          <w:sz w:val="24"/>
          <w:szCs w:val="24"/>
          <w:lang w:val="en-US" w:bidi="en-US"/>
        </w:rPr>
        <w:t>8.2.3  培训与指导</w:t>
      </w:r>
      <w:bookmarkEnd w:id="138"/>
      <w:bookmarkEnd w:id="139"/>
    </w:p>
    <w:p w:rsidR="00405F55" w:rsidRDefault="00000000">
      <w:pPr>
        <w:pStyle w:val="12"/>
        <w:spacing w:after="160" w:line="323" w:lineRule="exact"/>
        <w:ind w:firstLine="420"/>
      </w:pPr>
      <w:r>
        <w:rPr>
          <w:color w:val="231F20"/>
          <w:sz w:val="24"/>
          <w:szCs w:val="24"/>
        </w:rPr>
        <w:t>组织开展外业调查采样现场技术培训，熟悉野外实操层面的基本工作流程及可能存在实际问题与解决方案。针对部分剖面挖掘和土壤类型识别等专业工作，开展在线咨询与指导。</w:t>
      </w:r>
    </w:p>
    <w:p w:rsidR="00405F55" w:rsidRDefault="00000000">
      <w:pPr>
        <w:pStyle w:val="2"/>
        <w:spacing w:before="0" w:after="0" w:line="360" w:lineRule="auto"/>
        <w:rPr>
          <w:rFonts w:ascii="宋体" w:eastAsia="宋体" w:hAnsi="宋体" w:cs="宋体"/>
          <w:sz w:val="30"/>
          <w:szCs w:val="30"/>
          <w:lang w:eastAsia="zh-CN"/>
        </w:rPr>
      </w:pPr>
      <w:bookmarkStart w:id="140" w:name="bookmark140"/>
      <w:bookmarkStart w:id="141" w:name="_Toc7554"/>
      <w:r>
        <w:rPr>
          <w:rFonts w:ascii="宋体" w:eastAsia="宋体" w:hAnsi="宋体" w:cs="宋体" w:hint="eastAsia"/>
          <w:sz w:val="30"/>
          <w:szCs w:val="30"/>
          <w:lang w:eastAsia="zh-CN"/>
        </w:rPr>
        <w:t>8.3外业调查采样任务</w:t>
      </w:r>
      <w:bookmarkEnd w:id="140"/>
      <w:bookmarkEnd w:id="141"/>
    </w:p>
    <w:p w:rsidR="00405F55" w:rsidRDefault="00000000">
      <w:pPr>
        <w:pStyle w:val="34"/>
        <w:keepNext/>
        <w:keepLines/>
        <w:tabs>
          <w:tab w:val="left" w:pos="734"/>
        </w:tabs>
        <w:spacing w:line="314" w:lineRule="exact"/>
        <w:outlineLvl w:val="1"/>
        <w:rPr>
          <w:bCs w:val="0"/>
          <w:sz w:val="24"/>
          <w:szCs w:val="24"/>
          <w:lang w:val="en-US" w:bidi="en-US"/>
        </w:rPr>
      </w:pPr>
      <w:bookmarkStart w:id="142" w:name="_Toc31456"/>
      <w:r>
        <w:rPr>
          <w:rFonts w:hint="eastAsia"/>
          <w:bCs w:val="0"/>
          <w:sz w:val="24"/>
          <w:szCs w:val="24"/>
          <w:lang w:val="en-US" w:bidi="en-US"/>
        </w:rPr>
        <w:t>8.3.1  样点现场确认</w:t>
      </w:r>
      <w:bookmarkEnd w:id="142"/>
    </w:p>
    <w:p w:rsidR="00405F55" w:rsidRDefault="00000000">
      <w:pPr>
        <w:pStyle w:val="12"/>
        <w:spacing w:after="160" w:line="323" w:lineRule="exact"/>
        <w:ind w:firstLine="420"/>
        <w:rPr>
          <w:color w:val="231F20"/>
          <w:sz w:val="24"/>
          <w:szCs w:val="24"/>
        </w:rPr>
      </w:pPr>
      <w:r>
        <w:rPr>
          <w:color w:val="231F20"/>
          <w:sz w:val="24"/>
          <w:szCs w:val="24"/>
        </w:rPr>
        <w:t>外业调查队根据统一规划布设样点的目标导航，到达预布设目标样点区域后，在“电子围栏”范围内确定样点</w:t>
      </w:r>
      <w:proofErr w:type="gramStart"/>
      <w:r>
        <w:rPr>
          <w:color w:val="231F20"/>
          <w:sz w:val="24"/>
          <w:szCs w:val="24"/>
        </w:rPr>
        <w:t>点</w:t>
      </w:r>
      <w:proofErr w:type="gramEnd"/>
      <w:r>
        <w:rPr>
          <w:color w:val="231F20"/>
          <w:sz w:val="24"/>
          <w:szCs w:val="24"/>
        </w:rPr>
        <w:t>位（中心点），并填报确认样点的经纬度。</w:t>
      </w:r>
    </w:p>
    <w:p w:rsidR="00405F55" w:rsidRDefault="00000000">
      <w:pPr>
        <w:pStyle w:val="12"/>
        <w:spacing w:after="160" w:line="323" w:lineRule="exact"/>
        <w:ind w:firstLine="420"/>
        <w:rPr>
          <w:color w:val="231F20"/>
          <w:sz w:val="24"/>
          <w:szCs w:val="24"/>
        </w:rPr>
      </w:pPr>
      <w:r>
        <w:rPr>
          <w:color w:val="231F20"/>
          <w:sz w:val="24"/>
          <w:szCs w:val="24"/>
        </w:rPr>
        <w:t>如果预布设样点的土地已非农用化、土壤受到重大破坏等原因，失去了代表性，可根据周边的土地利用类型等，重新布设有代表性的样点；对布设点位的土壤类型进行野外识别，如实际的土壤类型与预布设点位土壤类型不一致，则需要进行土壤类型校核或者样点变更。对于上述2种需变更的样点，按«第三次全国土壤普查外业调查与采样技术规范</w:t>
      </w:r>
      <w:proofErr w:type="gramStart"/>
      <w:r>
        <w:rPr>
          <w:color w:val="231F20"/>
          <w:sz w:val="24"/>
          <w:szCs w:val="24"/>
        </w:rPr>
        <w:t>》</w:t>
      </w:r>
      <w:proofErr w:type="gramEnd"/>
      <w:r>
        <w:rPr>
          <w:color w:val="231F20"/>
          <w:sz w:val="24"/>
          <w:szCs w:val="24"/>
        </w:rPr>
        <w:t>的要求，完成样点的变更工作。</w:t>
      </w:r>
    </w:p>
    <w:p w:rsidR="00405F55" w:rsidRDefault="00000000">
      <w:pPr>
        <w:pStyle w:val="34"/>
        <w:keepNext/>
        <w:keepLines/>
        <w:tabs>
          <w:tab w:val="left" w:pos="734"/>
        </w:tabs>
        <w:spacing w:line="314" w:lineRule="exact"/>
        <w:outlineLvl w:val="1"/>
        <w:rPr>
          <w:bCs w:val="0"/>
          <w:sz w:val="24"/>
          <w:szCs w:val="24"/>
          <w:lang w:val="en-US" w:bidi="en-US"/>
        </w:rPr>
      </w:pPr>
      <w:bookmarkStart w:id="143" w:name="bookmark143"/>
      <w:bookmarkStart w:id="144" w:name="_Toc4696"/>
      <w:r>
        <w:rPr>
          <w:rFonts w:hint="eastAsia"/>
          <w:bCs w:val="0"/>
          <w:sz w:val="24"/>
          <w:szCs w:val="24"/>
          <w:lang w:val="en-US" w:bidi="en-US"/>
        </w:rPr>
        <w:t>8.3.2  样点调查信息与填报</w:t>
      </w:r>
      <w:bookmarkEnd w:id="143"/>
      <w:bookmarkEnd w:id="144"/>
    </w:p>
    <w:p w:rsidR="00405F55" w:rsidRDefault="00000000">
      <w:pPr>
        <w:pStyle w:val="12"/>
        <w:spacing w:after="160" w:line="323" w:lineRule="exact"/>
        <w:ind w:firstLine="420"/>
        <w:rPr>
          <w:color w:val="231F20"/>
          <w:sz w:val="24"/>
          <w:szCs w:val="24"/>
        </w:rPr>
      </w:pPr>
      <w:r>
        <w:rPr>
          <w:color w:val="231F20"/>
          <w:sz w:val="24"/>
          <w:szCs w:val="24"/>
        </w:rPr>
        <w:t>调查样点区域的成土条件、土壤利用等信息，填报“调查采样</w:t>
      </w:r>
      <w:r>
        <w:rPr>
          <w:color w:val="231F20"/>
          <w:sz w:val="24"/>
          <w:szCs w:val="24"/>
          <w:lang w:val="en-US"/>
        </w:rPr>
        <w:t>App”。</w:t>
      </w:r>
      <w:r>
        <w:rPr>
          <w:color w:val="231F20"/>
          <w:sz w:val="24"/>
          <w:szCs w:val="24"/>
        </w:rPr>
        <w:t>所有样点调查</w:t>
      </w:r>
      <w:r>
        <w:rPr>
          <w:color w:val="231F20"/>
          <w:sz w:val="24"/>
          <w:szCs w:val="24"/>
        </w:rPr>
        <w:lastRenderedPageBreak/>
        <w:t>的指标见«第三次全国土壤普查外业调查与采样技术规范</w:t>
      </w:r>
      <w:proofErr w:type="gramStart"/>
      <w:r>
        <w:rPr>
          <w:color w:val="231F20"/>
          <w:sz w:val="24"/>
          <w:szCs w:val="24"/>
        </w:rPr>
        <w:t>》</w:t>
      </w:r>
      <w:proofErr w:type="gramEnd"/>
      <w:r>
        <w:rPr>
          <w:color w:val="231F20"/>
          <w:sz w:val="24"/>
          <w:szCs w:val="24"/>
        </w:rPr>
        <w:t>。</w:t>
      </w:r>
    </w:p>
    <w:p w:rsidR="00405F55" w:rsidRDefault="00000000">
      <w:pPr>
        <w:pStyle w:val="12"/>
        <w:spacing w:after="160" w:line="323" w:lineRule="exact"/>
        <w:ind w:firstLine="420"/>
        <w:rPr>
          <w:color w:val="231F20"/>
          <w:sz w:val="24"/>
          <w:szCs w:val="24"/>
        </w:rPr>
      </w:pPr>
      <w:r>
        <w:rPr>
          <w:color w:val="231F20"/>
          <w:sz w:val="24"/>
          <w:szCs w:val="24"/>
        </w:rPr>
        <w:t>如果外业没有通信信号无法传输，可将调查与采样信息、图片和视频等存于外业调查采样终端,</w:t>
      </w:r>
      <w:proofErr w:type="gramStart"/>
      <w:r>
        <w:rPr>
          <w:color w:val="231F20"/>
          <w:sz w:val="24"/>
          <w:szCs w:val="24"/>
        </w:rPr>
        <w:t>待外业</w:t>
      </w:r>
      <w:proofErr w:type="gramEnd"/>
      <w:r>
        <w:rPr>
          <w:color w:val="231F20"/>
          <w:sz w:val="24"/>
          <w:szCs w:val="24"/>
        </w:rPr>
        <w:t>调查队回到上网区域，及时一次性提交。</w:t>
      </w:r>
    </w:p>
    <w:p w:rsidR="00405F55" w:rsidRDefault="00000000">
      <w:pPr>
        <w:pStyle w:val="34"/>
        <w:keepNext/>
        <w:keepLines/>
        <w:tabs>
          <w:tab w:val="left" w:pos="734"/>
        </w:tabs>
        <w:spacing w:line="314" w:lineRule="exact"/>
        <w:outlineLvl w:val="1"/>
        <w:rPr>
          <w:bCs w:val="0"/>
          <w:sz w:val="24"/>
          <w:szCs w:val="24"/>
          <w:lang w:val="en-US" w:bidi="en-US"/>
        </w:rPr>
      </w:pPr>
      <w:bookmarkStart w:id="145" w:name="bookmark145"/>
      <w:bookmarkStart w:id="146" w:name="_Toc12013"/>
      <w:r>
        <w:rPr>
          <w:rFonts w:hint="eastAsia"/>
          <w:bCs w:val="0"/>
          <w:sz w:val="24"/>
          <w:szCs w:val="24"/>
          <w:lang w:val="en-US" w:bidi="en-US"/>
        </w:rPr>
        <w:t>8.3.3  样品采集</w:t>
      </w:r>
      <w:bookmarkEnd w:id="145"/>
      <w:bookmarkEnd w:id="146"/>
    </w:p>
    <w:p w:rsidR="00405F55" w:rsidRDefault="00000000">
      <w:pPr>
        <w:pStyle w:val="12"/>
        <w:spacing w:after="160" w:line="323" w:lineRule="exact"/>
        <w:ind w:firstLine="420"/>
        <w:rPr>
          <w:color w:val="231F20"/>
          <w:sz w:val="24"/>
          <w:szCs w:val="24"/>
        </w:rPr>
      </w:pPr>
      <w:r>
        <w:rPr>
          <w:color w:val="231F20"/>
          <w:sz w:val="24"/>
          <w:szCs w:val="24"/>
        </w:rPr>
        <w:t>根据预设样点周边的地形地势和土地利用的空间变异程度，选择</w:t>
      </w:r>
      <w:r>
        <w:rPr>
          <w:color w:val="231F20"/>
          <w:sz w:val="24"/>
          <w:szCs w:val="24"/>
          <w:lang w:val="en-US"/>
        </w:rPr>
        <w:t>“S”</w:t>
      </w:r>
      <w:r>
        <w:rPr>
          <w:color w:val="231F20"/>
          <w:sz w:val="24"/>
          <w:szCs w:val="24"/>
        </w:rPr>
        <w:t>形或梅花形（5~10个混样点）、棋盘形（10~15个混样点）或蛇形（15~20个混样点）采集表层混合土样①。</w:t>
      </w:r>
    </w:p>
    <w:p w:rsidR="00405F55" w:rsidRDefault="00000000">
      <w:pPr>
        <w:pStyle w:val="12"/>
        <w:spacing w:after="160" w:line="323" w:lineRule="exact"/>
        <w:ind w:firstLine="420"/>
        <w:rPr>
          <w:color w:val="231F20"/>
          <w:sz w:val="24"/>
          <w:szCs w:val="24"/>
        </w:rPr>
      </w:pPr>
      <w:r>
        <w:rPr>
          <w:color w:val="231F20"/>
          <w:sz w:val="24"/>
          <w:szCs w:val="24"/>
        </w:rPr>
        <w:t>按照样点任务清单，完成表层土样、剖面发生层土样（整段剖面标本与分段纸盒标本）、水稳定大团聚体样、</w:t>
      </w:r>
      <w:proofErr w:type="gramStart"/>
      <w:r>
        <w:rPr>
          <w:color w:val="231F20"/>
          <w:sz w:val="24"/>
          <w:szCs w:val="24"/>
        </w:rPr>
        <w:t>环刀样</w:t>
      </w:r>
      <w:proofErr w:type="gramEnd"/>
      <w:r>
        <w:rPr>
          <w:color w:val="231F20"/>
          <w:sz w:val="24"/>
          <w:szCs w:val="24"/>
        </w:rPr>
        <w:t>、生物调查样等样品采集，其表层土样、剖面发生层土样、</w:t>
      </w:r>
      <w:proofErr w:type="gramStart"/>
      <w:r>
        <w:rPr>
          <w:color w:val="231F20"/>
          <w:sz w:val="24"/>
          <w:szCs w:val="24"/>
        </w:rPr>
        <w:t>环刀样</w:t>
      </w:r>
      <w:proofErr w:type="gramEnd"/>
      <w:r>
        <w:rPr>
          <w:color w:val="231F20"/>
          <w:sz w:val="24"/>
          <w:szCs w:val="24"/>
        </w:rPr>
        <w:t>按照«第三次全国土壤普查外业调查与采样技术规范</w:t>
      </w:r>
      <w:proofErr w:type="gramStart"/>
      <w:r>
        <w:rPr>
          <w:color w:val="231F20"/>
          <w:sz w:val="24"/>
          <w:szCs w:val="24"/>
        </w:rPr>
        <w:t>》</w:t>
      </w:r>
      <w:proofErr w:type="gramEnd"/>
      <w:r>
        <w:rPr>
          <w:color w:val="231F20"/>
          <w:sz w:val="24"/>
          <w:szCs w:val="24"/>
        </w:rPr>
        <w:t>采集，生物调查</w:t>
      </w:r>
      <w:proofErr w:type="gramStart"/>
      <w:r>
        <w:rPr>
          <w:color w:val="231F20"/>
          <w:sz w:val="24"/>
          <w:szCs w:val="24"/>
        </w:rPr>
        <w:t>样按照</w:t>
      </w:r>
      <w:proofErr w:type="gramEnd"/>
      <w:r>
        <w:rPr>
          <w:rFonts w:hint="eastAsia"/>
          <w:color w:val="231F20"/>
          <w:sz w:val="24"/>
          <w:szCs w:val="24"/>
          <w:lang w:val="en-US"/>
        </w:rPr>
        <w:t>《</w:t>
      </w:r>
      <w:r>
        <w:rPr>
          <w:color w:val="231F20"/>
          <w:sz w:val="24"/>
          <w:szCs w:val="24"/>
        </w:rPr>
        <w:t>第三次全国土壤普查土壤生物调查技术规范》采集。</w:t>
      </w:r>
    </w:p>
    <w:p w:rsidR="00405F55" w:rsidRDefault="00000000">
      <w:pPr>
        <w:pStyle w:val="34"/>
        <w:keepNext/>
        <w:keepLines/>
        <w:tabs>
          <w:tab w:val="left" w:pos="734"/>
        </w:tabs>
        <w:spacing w:beforeLines="100" w:before="240" w:line="314" w:lineRule="exact"/>
        <w:outlineLvl w:val="1"/>
        <w:rPr>
          <w:bCs w:val="0"/>
          <w:sz w:val="24"/>
          <w:szCs w:val="24"/>
          <w:lang w:val="en-US" w:bidi="en-US"/>
        </w:rPr>
      </w:pPr>
      <w:bookmarkStart w:id="147" w:name="bookmark147"/>
      <w:bookmarkStart w:id="148" w:name="_Toc6948"/>
      <w:r>
        <w:rPr>
          <w:rFonts w:hint="eastAsia"/>
          <w:bCs w:val="0"/>
          <w:sz w:val="24"/>
          <w:szCs w:val="24"/>
          <w:lang w:val="en-US" w:bidi="en-US"/>
        </w:rPr>
        <w:t>8.3.4  样品</w:t>
      </w:r>
      <w:bookmarkEnd w:id="147"/>
      <m:oMath>
        <m:sSup>
          <m:sSupPr>
            <m:ctrlPr>
              <w:rPr>
                <w:rFonts w:ascii="Cambria Math" w:hAnsi="Cambria Math"/>
                <w:bCs w:val="0"/>
                <w:i/>
                <w:sz w:val="24"/>
                <w:szCs w:val="24"/>
                <w:lang w:val="en-US" w:bidi="en-US"/>
              </w:rPr>
            </m:ctrlPr>
          </m:sSupPr>
          <m:e>
            <m:r>
              <m:rPr>
                <m:sty m:val="b"/>
              </m:rPr>
              <w:rPr>
                <w:rFonts w:ascii="Cambria Math" w:hAnsi="Cambria Math" w:hint="eastAsia"/>
                <w:sz w:val="24"/>
                <w:szCs w:val="24"/>
                <w:lang w:val="en-US" w:bidi="en-US"/>
              </w:rPr>
              <m:t>量</m:t>
            </m:r>
          </m:e>
          <m:sup>
            <m:r>
              <m:rPr>
                <m:sty m:val="bi"/>
              </m:rPr>
              <w:rPr>
                <w:rFonts w:ascii="Cambria Math" w:hAnsi="Cambria Math" w:hint="eastAsia"/>
                <w:sz w:val="24"/>
                <w:szCs w:val="24"/>
                <w:lang w:val="en-US" w:bidi="en-US"/>
              </w:rPr>
              <m:t>②</m:t>
            </m:r>
          </m:sup>
        </m:sSup>
      </m:oMath>
      <w:bookmarkEnd w:id="148"/>
    </w:p>
    <w:p w:rsidR="00405F55" w:rsidRDefault="00000000">
      <w:pPr>
        <w:pStyle w:val="12"/>
        <w:spacing w:after="160" w:line="323" w:lineRule="exact"/>
        <w:ind w:firstLine="420"/>
        <w:rPr>
          <w:color w:val="231F20"/>
          <w:sz w:val="24"/>
          <w:szCs w:val="24"/>
        </w:rPr>
      </w:pPr>
      <w:r>
        <w:rPr>
          <w:color w:val="231F20"/>
          <w:sz w:val="24"/>
          <w:szCs w:val="24"/>
        </w:rPr>
        <w:t>综合制样损耗、样品分发前留存、检测实验室短期保存与样品库（国家级、省级等）长期保存等，确定实际的样品采集数量，下列的样品量仅供参考。每一表层土样采取“四分法”剔除多余样品，留取</w:t>
      </w:r>
      <w:r>
        <w:rPr>
          <w:color w:val="231F20"/>
          <w:sz w:val="24"/>
          <w:szCs w:val="24"/>
          <w:lang w:val="en-US"/>
        </w:rPr>
        <w:t>3kg</w:t>
      </w:r>
      <w:r>
        <w:rPr>
          <w:color w:val="231F20"/>
          <w:sz w:val="24"/>
          <w:szCs w:val="24"/>
        </w:rPr>
        <w:t>（风干重计）；对于需要采集平行样（"调查采样</w:t>
      </w:r>
      <w:r>
        <w:rPr>
          <w:color w:val="231F20"/>
          <w:sz w:val="24"/>
          <w:szCs w:val="24"/>
          <w:lang w:val="en-US"/>
        </w:rPr>
        <w:t>App</w:t>
      </w:r>
      <w:proofErr w:type="gramStart"/>
      <w:r>
        <w:rPr>
          <w:color w:val="231F20"/>
          <w:sz w:val="24"/>
          <w:szCs w:val="24"/>
          <w:lang w:val="en-US"/>
        </w:rPr>
        <w:t>”</w:t>
      </w:r>
      <w:proofErr w:type="gramEnd"/>
      <w:r>
        <w:rPr>
          <w:color w:val="231F20"/>
          <w:sz w:val="24"/>
          <w:szCs w:val="24"/>
        </w:rPr>
        <w:t>清单中的平行样样点），取样量5</w:t>
      </w:r>
      <w:r>
        <w:rPr>
          <w:color w:val="231F20"/>
          <w:sz w:val="24"/>
          <w:szCs w:val="24"/>
          <w:lang w:val="en-US"/>
        </w:rPr>
        <w:t>kg</w:t>
      </w:r>
      <w:r>
        <w:rPr>
          <w:color w:val="231F20"/>
          <w:sz w:val="24"/>
          <w:szCs w:val="24"/>
        </w:rPr>
        <w:t>（风干重计）；每一剖面发生层土样约采集</w:t>
      </w:r>
      <w:r>
        <w:rPr>
          <w:color w:val="231F20"/>
          <w:sz w:val="24"/>
          <w:szCs w:val="24"/>
          <w:lang w:val="en-US"/>
        </w:rPr>
        <w:t>3kg</w:t>
      </w:r>
      <w:r>
        <w:rPr>
          <w:color w:val="231F20"/>
          <w:sz w:val="24"/>
          <w:szCs w:val="24"/>
        </w:rPr>
        <w:t>（风干重计），作为剖面发生层平行样时约采集5</w:t>
      </w:r>
      <w:r>
        <w:rPr>
          <w:color w:val="231F20"/>
          <w:sz w:val="24"/>
          <w:szCs w:val="24"/>
          <w:lang w:val="en-US"/>
        </w:rPr>
        <w:t>kg</w:t>
      </w:r>
      <w:r>
        <w:rPr>
          <w:color w:val="231F20"/>
          <w:sz w:val="24"/>
          <w:szCs w:val="24"/>
        </w:rPr>
        <w:t>（风干重计）。整段或分段剖面土壤标本的样品量装满</w:t>
      </w:r>
      <w:proofErr w:type="gramStart"/>
      <w:r>
        <w:rPr>
          <w:color w:val="231F20"/>
          <w:sz w:val="24"/>
          <w:szCs w:val="24"/>
        </w:rPr>
        <w:t>标本盒即可</w:t>
      </w:r>
      <w:proofErr w:type="gramEnd"/>
      <w:r>
        <w:rPr>
          <w:color w:val="231F20"/>
          <w:sz w:val="24"/>
          <w:szCs w:val="24"/>
        </w:rPr>
        <w:t>；水稳定大团聚体样品需采用木盒、铁盒、塑料盒或广口塑料罐等硬质容器盛装；</w:t>
      </w:r>
      <w:proofErr w:type="gramStart"/>
      <w:r>
        <w:rPr>
          <w:color w:val="231F20"/>
          <w:sz w:val="24"/>
          <w:szCs w:val="24"/>
        </w:rPr>
        <w:t>环刀样</w:t>
      </w:r>
      <w:proofErr w:type="gramEnd"/>
      <w:r>
        <w:rPr>
          <w:color w:val="231F20"/>
          <w:sz w:val="24"/>
          <w:szCs w:val="24"/>
        </w:rPr>
        <w:t>，按照任务清单中的测定土壤容重、土壤</w:t>
      </w:r>
      <w:r>
        <w:rPr>
          <w:color w:val="231F20"/>
          <w:sz w:val="24"/>
          <w:szCs w:val="24"/>
        </w:rPr>
        <w:br/>
        <w:t>导水性能等需要</w:t>
      </w:r>
      <w:proofErr w:type="gramStart"/>
      <w:r>
        <w:rPr>
          <w:color w:val="231F20"/>
          <w:sz w:val="24"/>
          <w:szCs w:val="24"/>
        </w:rPr>
        <w:t>环刀样数量</w:t>
      </w:r>
      <w:proofErr w:type="gramEnd"/>
      <w:r>
        <w:rPr>
          <w:color w:val="231F20"/>
          <w:sz w:val="24"/>
          <w:szCs w:val="24"/>
        </w:rPr>
        <w:t>采集。</w:t>
      </w:r>
    </w:p>
    <w:p w:rsidR="00405F55" w:rsidRDefault="00000000">
      <w:pPr>
        <w:pStyle w:val="12"/>
        <w:spacing w:after="160" w:line="323" w:lineRule="exact"/>
        <w:ind w:firstLine="420"/>
        <w:rPr>
          <w:color w:val="231F20"/>
          <w:sz w:val="24"/>
          <w:szCs w:val="24"/>
        </w:rPr>
      </w:pPr>
      <w:r>
        <w:rPr>
          <w:color w:val="231F20"/>
          <w:sz w:val="24"/>
          <w:szCs w:val="24"/>
        </w:rPr>
        <w:t>①</w:t>
      </w:r>
      <w:r>
        <w:rPr>
          <w:color w:val="231F20"/>
          <w:sz w:val="24"/>
          <w:szCs w:val="24"/>
          <w:lang w:val="en-US"/>
        </w:rPr>
        <w:t>“S"</w:t>
      </w:r>
      <w:r>
        <w:rPr>
          <w:color w:val="231F20"/>
          <w:sz w:val="24"/>
          <w:szCs w:val="24"/>
        </w:rPr>
        <w:t>形或梅花法：地形起伏小、土壤理化特征均匀的地块（如农场或种植大户多年种植的地块），以布设样点为中心，在不小于</w:t>
      </w:r>
      <w:r>
        <w:rPr>
          <w:color w:val="231F20"/>
          <w:sz w:val="24"/>
          <w:szCs w:val="24"/>
          <w:lang w:val="en-US"/>
        </w:rPr>
        <w:t>100mx100m</w:t>
      </w:r>
      <w:r>
        <w:rPr>
          <w:color w:val="231F20"/>
          <w:sz w:val="24"/>
          <w:szCs w:val="24"/>
        </w:rPr>
        <w:t>范围内按对角线法或梅花法取5~10个样后混合；棋盘法：地势平坦、地形开阔、土壤理化特征变异大的样地，以布设样点为中心，在不小于100</w:t>
      </w:r>
      <w:r>
        <w:rPr>
          <w:color w:val="231F20"/>
          <w:sz w:val="24"/>
          <w:szCs w:val="24"/>
          <w:lang w:val="en-US"/>
        </w:rPr>
        <w:t>mx100m</w:t>
      </w:r>
      <w:r>
        <w:rPr>
          <w:color w:val="231F20"/>
          <w:sz w:val="24"/>
          <w:szCs w:val="24"/>
        </w:rPr>
        <w:t>范围内按棋盘法取10~15个样后混合。</w:t>
      </w:r>
    </w:p>
    <w:p w:rsidR="00405F55" w:rsidRDefault="00000000">
      <w:pPr>
        <w:pStyle w:val="12"/>
        <w:spacing w:after="160" w:line="323" w:lineRule="exact"/>
        <w:ind w:firstLine="420"/>
        <w:rPr>
          <w:color w:val="231F20"/>
          <w:sz w:val="24"/>
          <w:szCs w:val="24"/>
        </w:rPr>
      </w:pPr>
      <w:r>
        <w:rPr>
          <w:color w:val="231F20"/>
          <w:sz w:val="24"/>
          <w:szCs w:val="24"/>
        </w:rPr>
        <w:t>蛇形法：地势不很平坦、土壤不够均匀的田块，以布设样点为中心，在不小于100</w:t>
      </w:r>
      <w:r>
        <w:rPr>
          <w:color w:val="231F20"/>
          <w:sz w:val="24"/>
          <w:szCs w:val="24"/>
          <w:lang w:val="en-US"/>
        </w:rPr>
        <w:t>mx100m</w:t>
      </w:r>
      <w:r>
        <w:rPr>
          <w:color w:val="231F20"/>
          <w:sz w:val="24"/>
          <w:szCs w:val="24"/>
        </w:rPr>
        <w:t>范围内按蛇形法取20个样后混合。</w:t>
      </w:r>
    </w:p>
    <w:p w:rsidR="00405F55" w:rsidRDefault="00000000">
      <w:pPr>
        <w:pStyle w:val="12"/>
        <w:spacing w:after="160" w:line="323" w:lineRule="exact"/>
        <w:ind w:firstLine="420"/>
        <w:rPr>
          <w:color w:val="231F20"/>
          <w:sz w:val="24"/>
          <w:szCs w:val="24"/>
        </w:rPr>
      </w:pPr>
      <w:r>
        <w:rPr>
          <w:color w:val="231F20"/>
          <w:sz w:val="24"/>
          <w:szCs w:val="24"/>
        </w:rPr>
        <w:t>②</w:t>
      </w:r>
      <w:proofErr w:type="gramStart"/>
      <w:r>
        <w:rPr>
          <w:color w:val="231F20"/>
          <w:sz w:val="24"/>
          <w:szCs w:val="24"/>
        </w:rPr>
        <w:t>省级与</w:t>
      </w:r>
      <w:proofErr w:type="gramEnd"/>
      <w:r>
        <w:rPr>
          <w:color w:val="231F20"/>
          <w:sz w:val="24"/>
          <w:szCs w:val="24"/>
        </w:rPr>
        <w:t>国家级样品库储存的样品，其取样量可能多于列出的样品量，每一具体样点采集的样品</w:t>
      </w:r>
      <w:proofErr w:type="gramStart"/>
      <w:r>
        <w:rPr>
          <w:color w:val="231F20"/>
          <w:sz w:val="24"/>
          <w:szCs w:val="24"/>
        </w:rPr>
        <w:t>量依据</w:t>
      </w:r>
      <w:proofErr w:type="gramEnd"/>
      <w:r>
        <w:rPr>
          <w:color w:val="231F20"/>
          <w:sz w:val="24"/>
          <w:szCs w:val="24"/>
        </w:rPr>
        <w:t>“调查采样</w:t>
      </w:r>
      <w:r>
        <w:rPr>
          <w:color w:val="231F20"/>
          <w:sz w:val="24"/>
          <w:szCs w:val="24"/>
          <w:lang w:val="en-US"/>
        </w:rPr>
        <w:t>App”</w:t>
      </w:r>
      <w:r>
        <w:rPr>
          <w:color w:val="231F20"/>
          <w:sz w:val="24"/>
          <w:szCs w:val="24"/>
        </w:rPr>
        <w:t>任务清单中给出的样品采样量。</w:t>
      </w:r>
    </w:p>
    <w:p w:rsidR="00405F55" w:rsidRDefault="00000000">
      <w:pPr>
        <w:pStyle w:val="34"/>
        <w:keepNext/>
        <w:keepLines/>
        <w:tabs>
          <w:tab w:val="left" w:pos="734"/>
        </w:tabs>
        <w:spacing w:line="314" w:lineRule="exact"/>
        <w:outlineLvl w:val="1"/>
        <w:rPr>
          <w:bCs w:val="0"/>
          <w:sz w:val="24"/>
          <w:szCs w:val="24"/>
          <w:lang w:val="en-US" w:bidi="en-US"/>
        </w:rPr>
      </w:pPr>
      <w:bookmarkStart w:id="149" w:name="bookmark149"/>
      <w:bookmarkStart w:id="150" w:name="_Toc4045"/>
      <w:r>
        <w:rPr>
          <w:rFonts w:hint="eastAsia"/>
          <w:bCs w:val="0"/>
          <w:sz w:val="24"/>
          <w:szCs w:val="24"/>
          <w:lang w:val="en-US" w:bidi="en-US"/>
        </w:rPr>
        <w:t>8.3.5  样品包装与运输</w:t>
      </w:r>
      <w:bookmarkEnd w:id="149"/>
      <w:bookmarkEnd w:id="150"/>
    </w:p>
    <w:p w:rsidR="00405F55" w:rsidRDefault="00000000">
      <w:pPr>
        <w:pStyle w:val="12"/>
        <w:spacing w:after="160" w:line="323" w:lineRule="exact"/>
        <w:ind w:firstLine="420"/>
        <w:rPr>
          <w:color w:val="231F20"/>
          <w:sz w:val="24"/>
          <w:szCs w:val="24"/>
        </w:rPr>
      </w:pPr>
      <w:r>
        <w:rPr>
          <w:color w:val="231F20"/>
          <w:sz w:val="24"/>
          <w:szCs w:val="24"/>
        </w:rPr>
        <w:t>所有采集土壤样品混匀后，先装入塑料自封袋后、再装入布袋，或放入统一标准的样品袋，避免交叉污染。分层</w:t>
      </w:r>
      <w:proofErr w:type="gramStart"/>
      <w:r>
        <w:rPr>
          <w:color w:val="231F20"/>
          <w:sz w:val="24"/>
          <w:szCs w:val="24"/>
        </w:rPr>
        <w:t>剖面样需放入</w:t>
      </w:r>
      <w:proofErr w:type="gramEnd"/>
      <w:r>
        <w:rPr>
          <w:color w:val="231F20"/>
          <w:sz w:val="24"/>
          <w:szCs w:val="24"/>
        </w:rPr>
        <w:t>剖面样的样品盒；用“调查采样</w:t>
      </w:r>
      <w:r>
        <w:rPr>
          <w:color w:val="231F20"/>
          <w:sz w:val="24"/>
          <w:szCs w:val="24"/>
          <w:lang w:val="en-US"/>
        </w:rPr>
        <w:t>App”</w:t>
      </w:r>
      <w:r>
        <w:rPr>
          <w:color w:val="231F20"/>
          <w:sz w:val="24"/>
          <w:szCs w:val="24"/>
        </w:rPr>
        <w:t>扫描，并打印土壤表层土样、剖面土样等样品编码，贴在盛装样品的布袋或密封塑料袋上。封口、贴好打印的标签后，及时寄送到制样实验室。</w:t>
      </w:r>
    </w:p>
    <w:p w:rsidR="00405F55" w:rsidRDefault="00000000">
      <w:pPr>
        <w:pStyle w:val="12"/>
        <w:spacing w:after="160" w:line="323" w:lineRule="exact"/>
        <w:ind w:firstLine="420"/>
        <w:rPr>
          <w:color w:val="231F20"/>
          <w:sz w:val="24"/>
          <w:szCs w:val="24"/>
        </w:rPr>
      </w:pPr>
      <w:r>
        <w:rPr>
          <w:color w:val="231F20"/>
          <w:sz w:val="24"/>
          <w:szCs w:val="24"/>
        </w:rPr>
        <w:t>剖面整段标本与分段纸盒标本放入特制的木盒或铁皮盒，</w:t>
      </w:r>
      <w:proofErr w:type="gramStart"/>
      <w:r>
        <w:rPr>
          <w:color w:val="231F20"/>
          <w:sz w:val="24"/>
          <w:szCs w:val="24"/>
        </w:rPr>
        <w:t>环刀样</w:t>
      </w:r>
      <w:proofErr w:type="gramEnd"/>
      <w:r>
        <w:rPr>
          <w:color w:val="231F20"/>
          <w:sz w:val="24"/>
          <w:szCs w:val="24"/>
        </w:rPr>
        <w:t>、剖面</w:t>
      </w:r>
      <w:proofErr w:type="gramStart"/>
      <w:r>
        <w:rPr>
          <w:color w:val="231F20"/>
          <w:sz w:val="24"/>
          <w:szCs w:val="24"/>
        </w:rPr>
        <w:t>标本样需使用</w:t>
      </w:r>
      <w:proofErr w:type="gramEnd"/>
      <w:r>
        <w:rPr>
          <w:color w:val="231F20"/>
          <w:sz w:val="24"/>
          <w:szCs w:val="24"/>
        </w:rPr>
        <w:t>固定装置,保证运输期间不会移动。</w:t>
      </w:r>
    </w:p>
    <w:p w:rsidR="00405F55" w:rsidRDefault="00000000">
      <w:pPr>
        <w:pStyle w:val="2"/>
        <w:spacing w:before="0" w:after="0" w:line="360" w:lineRule="auto"/>
        <w:rPr>
          <w:rFonts w:ascii="宋体" w:eastAsia="宋体" w:hAnsi="宋体" w:cs="宋体"/>
          <w:sz w:val="30"/>
          <w:szCs w:val="30"/>
          <w:lang w:eastAsia="zh-CN"/>
        </w:rPr>
      </w:pPr>
      <w:bookmarkStart w:id="151" w:name="_Toc18520"/>
      <w:r>
        <w:rPr>
          <w:rFonts w:ascii="宋体" w:eastAsia="宋体" w:hAnsi="宋体" w:cs="宋体" w:hint="eastAsia"/>
          <w:sz w:val="30"/>
          <w:szCs w:val="30"/>
          <w:lang w:eastAsia="zh-CN"/>
        </w:rPr>
        <w:t>8. 4外业调查采样的质量控制</w:t>
      </w:r>
      <w:bookmarkEnd w:id="151"/>
    </w:p>
    <w:p w:rsidR="00405F55" w:rsidRDefault="00000000">
      <w:pPr>
        <w:pStyle w:val="12"/>
        <w:spacing w:after="160" w:line="323" w:lineRule="exact"/>
        <w:ind w:firstLine="420"/>
        <w:rPr>
          <w:color w:val="231F20"/>
          <w:sz w:val="24"/>
          <w:szCs w:val="24"/>
        </w:rPr>
      </w:pPr>
      <w:r>
        <w:rPr>
          <w:color w:val="231F20"/>
          <w:sz w:val="24"/>
          <w:szCs w:val="24"/>
        </w:rPr>
        <w:t>外业调查与采样环节的质量控制包括</w:t>
      </w:r>
      <w:proofErr w:type="gramStart"/>
      <w:r>
        <w:rPr>
          <w:color w:val="231F20"/>
          <w:sz w:val="24"/>
          <w:szCs w:val="24"/>
        </w:rPr>
        <w:t>内部质</w:t>
      </w:r>
      <w:proofErr w:type="gramEnd"/>
      <w:r>
        <w:rPr>
          <w:color w:val="231F20"/>
          <w:sz w:val="24"/>
          <w:szCs w:val="24"/>
        </w:rPr>
        <w:t>控与</w:t>
      </w:r>
      <w:proofErr w:type="gramStart"/>
      <w:r>
        <w:rPr>
          <w:color w:val="231F20"/>
          <w:sz w:val="24"/>
          <w:szCs w:val="24"/>
        </w:rPr>
        <w:t>外部质</w:t>
      </w:r>
      <w:proofErr w:type="gramEnd"/>
      <w:r>
        <w:rPr>
          <w:color w:val="231F20"/>
          <w:sz w:val="24"/>
          <w:szCs w:val="24"/>
        </w:rPr>
        <w:t>控2个环节。</w:t>
      </w:r>
      <w:proofErr w:type="gramStart"/>
      <w:r>
        <w:rPr>
          <w:color w:val="231F20"/>
          <w:sz w:val="24"/>
          <w:szCs w:val="24"/>
        </w:rPr>
        <w:t>内部质</w:t>
      </w:r>
      <w:proofErr w:type="gramEnd"/>
      <w:r>
        <w:rPr>
          <w:color w:val="231F20"/>
          <w:sz w:val="24"/>
          <w:szCs w:val="24"/>
        </w:rPr>
        <w:t>控包</w:t>
      </w:r>
      <w:r>
        <w:rPr>
          <w:color w:val="231F20"/>
          <w:sz w:val="24"/>
          <w:szCs w:val="24"/>
        </w:rPr>
        <w:lastRenderedPageBreak/>
        <w:t>括：每一外业调查队，至少有1人接受过国家级或省级土壤普查办统一组织的集中培训，且通过考核获得培训证书；“电子围栏”范围内确认调查采样样点、拍摄样点附近景观照片、检查样品标识清晰完整等。</w:t>
      </w:r>
      <w:proofErr w:type="gramStart"/>
      <w:r>
        <w:rPr>
          <w:color w:val="231F20"/>
          <w:sz w:val="24"/>
          <w:szCs w:val="24"/>
        </w:rPr>
        <w:t>外部质控是</w:t>
      </w:r>
      <w:proofErr w:type="gramEnd"/>
      <w:r>
        <w:rPr>
          <w:color w:val="231F20"/>
          <w:sz w:val="24"/>
          <w:szCs w:val="24"/>
        </w:rPr>
        <w:t>国家或省级土壤普查办组织外业质量控制单位，开展采样时间、位置、记录等抽查等外部质量监督检查；工作平台上应有相应的县级、省级、国家级</w:t>
      </w:r>
      <w:proofErr w:type="gramStart"/>
      <w:r>
        <w:rPr>
          <w:color w:val="231F20"/>
          <w:sz w:val="24"/>
          <w:szCs w:val="24"/>
        </w:rPr>
        <w:t>外部质控专家</w:t>
      </w:r>
      <w:proofErr w:type="gramEnd"/>
      <w:r>
        <w:rPr>
          <w:color w:val="231F20"/>
          <w:sz w:val="24"/>
          <w:szCs w:val="24"/>
        </w:rPr>
        <w:t>审核的修改功能，同时记录审核专家的个人信息。详见«第三次全国土壤普查全程质量控制技术规范</w:t>
      </w:r>
      <w:proofErr w:type="gramStart"/>
      <w:r>
        <w:rPr>
          <w:color w:val="231F20"/>
          <w:sz w:val="24"/>
          <w:szCs w:val="24"/>
        </w:rPr>
        <w:t>》</w:t>
      </w:r>
      <w:proofErr w:type="gramEnd"/>
      <w:r>
        <w:rPr>
          <w:color w:val="231F20"/>
          <w:sz w:val="24"/>
          <w:szCs w:val="24"/>
        </w:rPr>
        <w:t>。主要质</w:t>
      </w:r>
      <w:proofErr w:type="gramStart"/>
      <w:r>
        <w:rPr>
          <w:color w:val="231F20"/>
          <w:sz w:val="24"/>
          <w:szCs w:val="24"/>
        </w:rPr>
        <w:t>控内容</w:t>
      </w:r>
      <w:proofErr w:type="gramEnd"/>
      <w:r>
        <w:rPr>
          <w:color w:val="231F20"/>
          <w:sz w:val="24"/>
          <w:szCs w:val="24"/>
        </w:rPr>
        <w:t>见表1。</w:t>
      </w:r>
    </w:p>
    <w:p w:rsidR="00405F55" w:rsidRDefault="00000000">
      <w:pPr>
        <w:pStyle w:val="aa"/>
        <w:ind w:left="3451"/>
        <w:rPr>
          <w:rFonts w:ascii="微软雅黑" w:eastAsia="微软雅黑" w:hAnsi="微软雅黑" w:cs="微软雅黑"/>
        </w:rPr>
      </w:pPr>
      <w:r>
        <w:rPr>
          <w:rFonts w:ascii="微软雅黑" w:eastAsia="微软雅黑" w:hAnsi="微软雅黑" w:cs="微软雅黑" w:hint="eastAsia"/>
        </w:rPr>
        <w:t>表</w:t>
      </w:r>
      <w:r>
        <w:rPr>
          <w:rFonts w:ascii="微软雅黑" w:eastAsia="微软雅黑" w:hAnsi="微软雅黑" w:cs="微软雅黑" w:hint="eastAsia"/>
          <w:sz w:val="17"/>
          <w:szCs w:val="17"/>
        </w:rPr>
        <w:t>1</w:t>
      </w:r>
      <w:r>
        <w:rPr>
          <w:rFonts w:ascii="微软雅黑" w:eastAsia="微软雅黑" w:hAnsi="微软雅黑" w:cs="微软雅黑" w:hint="eastAsia"/>
        </w:rPr>
        <w:t>外业调查采样质量控制</w:t>
      </w:r>
    </w:p>
    <w:tbl>
      <w:tblPr>
        <w:tblW w:w="0" w:type="auto"/>
        <w:jc w:val="center"/>
        <w:tblLayout w:type="fixed"/>
        <w:tblCellMar>
          <w:left w:w="10" w:type="dxa"/>
          <w:right w:w="10" w:type="dxa"/>
        </w:tblCellMar>
        <w:tblLook w:val="04A0" w:firstRow="1" w:lastRow="0" w:firstColumn="1" w:lastColumn="0" w:noHBand="0" w:noVBand="1"/>
      </w:tblPr>
      <w:tblGrid>
        <w:gridCol w:w="1810"/>
        <w:gridCol w:w="4330"/>
        <w:gridCol w:w="3096"/>
      </w:tblGrid>
      <w:tr w:rsidR="00405F55">
        <w:trPr>
          <w:trHeight w:hRule="exact" w:val="365"/>
          <w:jc w:val="center"/>
        </w:trPr>
        <w:tc>
          <w:tcPr>
            <w:tcW w:w="1810" w:type="dxa"/>
            <w:tcBorders>
              <w:top w:val="single" w:sz="4" w:space="0" w:color="auto"/>
              <w:left w:val="single" w:sz="4" w:space="0" w:color="auto"/>
            </w:tcBorders>
            <w:shd w:val="clear" w:color="auto" w:fill="auto"/>
            <w:vAlign w:val="center"/>
          </w:tcPr>
          <w:p w:rsidR="00405F55" w:rsidRDefault="00000000">
            <w:pPr>
              <w:pStyle w:val="ac"/>
              <w:spacing w:line="240" w:lineRule="auto"/>
              <w:ind w:firstLine="0"/>
              <w:jc w:val="center"/>
              <w:rPr>
                <w:sz w:val="18"/>
                <w:szCs w:val="18"/>
              </w:rPr>
            </w:pPr>
            <w:r>
              <w:rPr>
                <w:sz w:val="18"/>
                <w:szCs w:val="18"/>
              </w:rPr>
              <w:t>质控环节</w:t>
            </w:r>
          </w:p>
        </w:tc>
        <w:tc>
          <w:tcPr>
            <w:tcW w:w="4330" w:type="dxa"/>
            <w:tcBorders>
              <w:top w:val="single" w:sz="4" w:space="0" w:color="auto"/>
              <w:left w:val="single" w:sz="4" w:space="0" w:color="auto"/>
            </w:tcBorders>
            <w:shd w:val="clear" w:color="auto" w:fill="auto"/>
            <w:vAlign w:val="center"/>
          </w:tcPr>
          <w:p w:rsidR="00405F55" w:rsidRDefault="00000000">
            <w:pPr>
              <w:pStyle w:val="ac"/>
              <w:spacing w:line="240" w:lineRule="auto"/>
              <w:ind w:firstLine="0"/>
              <w:jc w:val="center"/>
              <w:rPr>
                <w:sz w:val="18"/>
                <w:szCs w:val="18"/>
              </w:rPr>
            </w:pPr>
            <w:proofErr w:type="gramStart"/>
            <w:r>
              <w:rPr>
                <w:sz w:val="18"/>
                <w:szCs w:val="18"/>
              </w:rPr>
              <w:t>内部质</w:t>
            </w:r>
            <w:proofErr w:type="gramEnd"/>
            <w:r>
              <w:rPr>
                <w:sz w:val="18"/>
                <w:szCs w:val="18"/>
              </w:rPr>
              <w:t>控</w:t>
            </w:r>
          </w:p>
        </w:tc>
        <w:tc>
          <w:tcPr>
            <w:tcW w:w="3096" w:type="dxa"/>
            <w:tcBorders>
              <w:top w:val="single" w:sz="4" w:space="0" w:color="auto"/>
              <w:left w:val="single" w:sz="4" w:space="0" w:color="auto"/>
              <w:right w:val="single" w:sz="4" w:space="0" w:color="auto"/>
            </w:tcBorders>
            <w:shd w:val="clear" w:color="auto" w:fill="auto"/>
            <w:vAlign w:val="center"/>
          </w:tcPr>
          <w:p w:rsidR="00405F55" w:rsidRDefault="00000000">
            <w:pPr>
              <w:pStyle w:val="ac"/>
              <w:spacing w:line="240" w:lineRule="auto"/>
              <w:ind w:firstLine="0"/>
              <w:jc w:val="center"/>
              <w:rPr>
                <w:sz w:val="18"/>
                <w:szCs w:val="18"/>
              </w:rPr>
            </w:pPr>
            <w:proofErr w:type="gramStart"/>
            <w:r>
              <w:rPr>
                <w:sz w:val="18"/>
                <w:szCs w:val="18"/>
              </w:rPr>
              <w:t>外部质</w:t>
            </w:r>
            <w:proofErr w:type="gramEnd"/>
            <w:r>
              <w:rPr>
                <w:sz w:val="18"/>
                <w:szCs w:val="18"/>
              </w:rPr>
              <w:t>控</w:t>
            </w:r>
          </w:p>
        </w:tc>
      </w:tr>
      <w:tr w:rsidR="00405F55">
        <w:trPr>
          <w:trHeight w:hRule="exact" w:val="586"/>
          <w:jc w:val="center"/>
        </w:trPr>
        <w:tc>
          <w:tcPr>
            <w:tcW w:w="1810" w:type="dxa"/>
            <w:tcBorders>
              <w:top w:val="single" w:sz="4" w:space="0" w:color="auto"/>
              <w:left w:val="single" w:sz="4" w:space="0" w:color="auto"/>
            </w:tcBorders>
            <w:shd w:val="clear" w:color="auto" w:fill="auto"/>
            <w:vAlign w:val="center"/>
          </w:tcPr>
          <w:p w:rsidR="00405F55" w:rsidRDefault="00000000">
            <w:pPr>
              <w:pStyle w:val="ac"/>
              <w:spacing w:line="240" w:lineRule="auto"/>
              <w:ind w:firstLine="0"/>
              <w:jc w:val="center"/>
              <w:rPr>
                <w:rFonts w:ascii="微软雅黑" w:eastAsia="微软雅黑" w:hAnsi="微软雅黑" w:cs="微软雅黑"/>
                <w:sz w:val="18"/>
                <w:szCs w:val="18"/>
              </w:rPr>
            </w:pPr>
            <w:r>
              <w:rPr>
                <w:rFonts w:ascii="微软雅黑" w:eastAsia="微软雅黑" w:hAnsi="微软雅黑" w:cs="微软雅黑" w:hint="eastAsia"/>
                <w:sz w:val="18"/>
                <w:szCs w:val="18"/>
              </w:rPr>
              <w:t>调查采样信息填报</w:t>
            </w:r>
          </w:p>
        </w:tc>
        <w:tc>
          <w:tcPr>
            <w:tcW w:w="4330" w:type="dxa"/>
            <w:tcBorders>
              <w:top w:val="single" w:sz="4" w:space="0" w:color="auto"/>
              <w:left w:val="single" w:sz="4" w:space="0" w:color="auto"/>
            </w:tcBorders>
            <w:shd w:val="clear" w:color="auto" w:fill="auto"/>
          </w:tcPr>
          <w:p w:rsidR="00405F55" w:rsidRDefault="00000000">
            <w:pPr>
              <w:pStyle w:val="ac"/>
              <w:spacing w:line="240" w:lineRule="auto"/>
              <w:ind w:firstLine="0"/>
              <w:rPr>
                <w:rFonts w:ascii="微软雅黑" w:eastAsia="微软雅黑" w:hAnsi="微软雅黑" w:cs="微软雅黑"/>
                <w:sz w:val="15"/>
                <w:szCs w:val="15"/>
              </w:rPr>
            </w:pPr>
            <w:r>
              <w:rPr>
                <w:rFonts w:ascii="微软雅黑" w:eastAsia="微软雅黑" w:hAnsi="微软雅黑" w:cs="微软雅黑" w:hint="eastAsia"/>
                <w:sz w:val="15"/>
                <w:szCs w:val="15"/>
              </w:rPr>
              <w:t>“</w:t>
            </w:r>
            <w:r>
              <w:rPr>
                <w:rFonts w:ascii="微软雅黑" w:eastAsia="微软雅黑" w:hAnsi="微软雅黑" w:cs="微软雅黑" w:hint="eastAsia"/>
                <w:sz w:val="18"/>
                <w:szCs w:val="18"/>
              </w:rPr>
              <w:t>电子围栏</w:t>
            </w:r>
            <w:r>
              <w:rPr>
                <w:rFonts w:ascii="微软雅黑" w:eastAsia="微软雅黑" w:hAnsi="微软雅黑" w:cs="微软雅黑" w:hint="eastAsia"/>
                <w:sz w:val="15"/>
                <w:szCs w:val="15"/>
              </w:rPr>
              <w:t>”</w:t>
            </w:r>
            <w:r>
              <w:rPr>
                <w:rFonts w:ascii="微软雅黑" w:eastAsia="微软雅黑" w:hAnsi="微软雅黑" w:cs="微软雅黑" w:hint="eastAsia"/>
                <w:sz w:val="18"/>
                <w:szCs w:val="18"/>
              </w:rPr>
              <w:t>范围内</w:t>
            </w:r>
            <w:r>
              <w:rPr>
                <w:rFonts w:ascii="微软雅黑" w:eastAsia="微软雅黑" w:hAnsi="微软雅黑" w:cs="微软雅黑" w:hint="eastAsia"/>
                <w:sz w:val="15"/>
                <w:szCs w:val="15"/>
              </w:rPr>
              <w:t>；</w:t>
            </w:r>
          </w:p>
          <w:p w:rsidR="00405F55" w:rsidRDefault="00000000">
            <w:pPr>
              <w:pStyle w:val="ac"/>
              <w:spacing w:line="240" w:lineRule="auto"/>
              <w:ind w:firstLine="0"/>
              <w:rPr>
                <w:rFonts w:ascii="微软雅黑" w:eastAsia="微软雅黑" w:hAnsi="微软雅黑" w:cs="微软雅黑"/>
                <w:sz w:val="15"/>
                <w:szCs w:val="15"/>
              </w:rPr>
            </w:pPr>
            <w:r>
              <w:rPr>
                <w:rFonts w:ascii="微软雅黑" w:eastAsia="微软雅黑" w:hAnsi="微软雅黑" w:cs="微软雅黑" w:hint="eastAsia"/>
                <w:sz w:val="18"/>
                <w:szCs w:val="18"/>
              </w:rPr>
              <w:t>调查指标、影像等信息自查率应达</w:t>
            </w:r>
            <w:r>
              <w:rPr>
                <w:rFonts w:ascii="微软雅黑" w:eastAsia="微软雅黑" w:hAnsi="微软雅黑" w:cs="微软雅黑" w:hint="eastAsia"/>
                <w:sz w:val="15"/>
                <w:szCs w:val="15"/>
              </w:rPr>
              <w:t>100%</w:t>
            </w:r>
          </w:p>
        </w:tc>
        <w:tc>
          <w:tcPr>
            <w:tcW w:w="3096" w:type="dxa"/>
            <w:tcBorders>
              <w:top w:val="single" w:sz="4" w:space="0" w:color="auto"/>
              <w:left w:val="single" w:sz="4" w:space="0" w:color="auto"/>
              <w:right w:val="single" w:sz="4" w:space="0" w:color="auto"/>
            </w:tcBorders>
            <w:shd w:val="clear" w:color="auto" w:fill="auto"/>
          </w:tcPr>
          <w:p w:rsidR="00405F55" w:rsidRDefault="00000000">
            <w:pPr>
              <w:pStyle w:val="ac"/>
              <w:spacing w:line="226" w:lineRule="exact"/>
              <w:ind w:firstLine="0"/>
              <w:rPr>
                <w:rFonts w:ascii="微软雅黑" w:eastAsia="微软雅黑" w:hAnsi="微软雅黑" w:cs="微软雅黑"/>
                <w:sz w:val="15"/>
                <w:szCs w:val="15"/>
              </w:rPr>
            </w:pPr>
            <w:r>
              <w:rPr>
                <w:rFonts w:ascii="微软雅黑" w:eastAsia="微软雅黑" w:hAnsi="微软雅黑" w:cs="微软雅黑" w:hint="eastAsia"/>
                <w:sz w:val="18"/>
                <w:szCs w:val="18"/>
              </w:rPr>
              <w:t>省级抽查率</w:t>
            </w:r>
            <w:proofErr w:type="gramStart"/>
            <w:r>
              <w:rPr>
                <w:rFonts w:ascii="微软雅黑" w:eastAsia="微软雅黑" w:hAnsi="微软雅黑" w:cs="微软雅黑" w:hint="eastAsia"/>
                <w:sz w:val="18"/>
                <w:szCs w:val="18"/>
              </w:rPr>
              <w:t>〉</w:t>
            </w:r>
            <w:proofErr w:type="gramEnd"/>
            <w:r>
              <w:rPr>
                <w:rFonts w:ascii="微软雅黑" w:eastAsia="微软雅黑" w:hAnsi="微软雅黑" w:cs="微软雅黑" w:hint="eastAsia"/>
                <w:sz w:val="18"/>
                <w:szCs w:val="18"/>
              </w:rPr>
              <w:t>采样任务</w:t>
            </w:r>
            <w:r>
              <w:rPr>
                <w:rFonts w:ascii="微软雅黑" w:eastAsia="微软雅黑" w:hAnsi="微软雅黑" w:cs="微软雅黑" w:hint="eastAsia"/>
                <w:sz w:val="15"/>
                <w:szCs w:val="15"/>
              </w:rPr>
              <w:t>5%</w:t>
            </w:r>
            <w:r>
              <w:rPr>
                <w:rFonts w:ascii="微软雅黑" w:eastAsia="微软雅黑" w:hAnsi="微软雅黑" w:cs="微软雅黑" w:hint="eastAsia"/>
                <w:sz w:val="18"/>
                <w:szCs w:val="18"/>
              </w:rPr>
              <w:t>。；</w:t>
            </w:r>
            <w:r>
              <w:rPr>
                <w:rFonts w:ascii="微软雅黑" w:eastAsia="微软雅黑" w:hAnsi="微软雅黑" w:cs="微软雅黑" w:hint="eastAsia"/>
                <w:sz w:val="18"/>
                <w:szCs w:val="18"/>
              </w:rPr>
              <w:br/>
              <w:t>国家级抽查率</w:t>
            </w:r>
            <w:r>
              <w:rPr>
                <w:rFonts w:ascii="微软雅黑" w:eastAsia="微软雅黑" w:hAnsi="微软雅黑" w:cs="微软雅黑" w:hint="eastAsia"/>
                <w:sz w:val="15"/>
                <w:szCs w:val="15"/>
              </w:rPr>
              <w:t>＞</w:t>
            </w:r>
            <w:r>
              <w:rPr>
                <w:rFonts w:ascii="微软雅黑" w:eastAsia="微软雅黑" w:hAnsi="微软雅黑" w:cs="微软雅黑" w:hint="eastAsia"/>
                <w:sz w:val="18"/>
                <w:szCs w:val="18"/>
              </w:rPr>
              <w:t>采样任务</w:t>
            </w:r>
            <w:r>
              <w:rPr>
                <w:rFonts w:ascii="微软雅黑" w:eastAsia="微软雅黑" w:hAnsi="微软雅黑" w:cs="微软雅黑" w:hint="eastAsia"/>
                <w:sz w:val="15"/>
                <w:szCs w:val="15"/>
              </w:rPr>
              <w:t>2%</w:t>
            </w:r>
          </w:p>
        </w:tc>
      </w:tr>
      <w:tr w:rsidR="00405F55">
        <w:trPr>
          <w:trHeight w:hRule="exact" w:val="816"/>
          <w:jc w:val="center"/>
        </w:trPr>
        <w:tc>
          <w:tcPr>
            <w:tcW w:w="1810" w:type="dxa"/>
            <w:tcBorders>
              <w:top w:val="single" w:sz="4" w:space="0" w:color="auto"/>
              <w:left w:val="single" w:sz="4" w:space="0" w:color="auto"/>
              <w:bottom w:val="single" w:sz="4" w:space="0" w:color="auto"/>
            </w:tcBorders>
            <w:shd w:val="clear" w:color="auto" w:fill="auto"/>
            <w:vAlign w:val="center"/>
          </w:tcPr>
          <w:p w:rsidR="00405F55" w:rsidRDefault="00000000">
            <w:pPr>
              <w:pStyle w:val="ac"/>
              <w:spacing w:line="240" w:lineRule="auto"/>
              <w:ind w:firstLine="0"/>
              <w:jc w:val="center"/>
              <w:rPr>
                <w:rFonts w:ascii="微软雅黑" w:eastAsia="微软雅黑" w:hAnsi="微软雅黑" w:cs="微软雅黑"/>
                <w:sz w:val="18"/>
                <w:szCs w:val="18"/>
              </w:rPr>
            </w:pPr>
            <w:r>
              <w:rPr>
                <w:rFonts w:ascii="微软雅黑" w:eastAsia="微软雅黑" w:hAnsi="微软雅黑" w:cs="微软雅黑" w:hint="eastAsia"/>
                <w:sz w:val="18"/>
                <w:szCs w:val="18"/>
              </w:rPr>
              <w:t>调查采样现场抽查</w:t>
            </w:r>
          </w:p>
        </w:tc>
        <w:tc>
          <w:tcPr>
            <w:tcW w:w="4330" w:type="dxa"/>
            <w:tcBorders>
              <w:top w:val="single" w:sz="4" w:space="0" w:color="auto"/>
              <w:left w:val="single" w:sz="4" w:space="0" w:color="auto"/>
              <w:bottom w:val="single" w:sz="4" w:space="0" w:color="auto"/>
            </w:tcBorders>
            <w:shd w:val="clear" w:color="auto" w:fill="auto"/>
          </w:tcPr>
          <w:p w:rsidR="00405F55" w:rsidRDefault="00000000">
            <w:pPr>
              <w:pStyle w:val="ac"/>
              <w:spacing w:line="221" w:lineRule="exact"/>
              <w:ind w:firstLine="0"/>
              <w:rPr>
                <w:rFonts w:ascii="微软雅黑" w:eastAsia="微软雅黑" w:hAnsi="微软雅黑" w:cs="微软雅黑"/>
                <w:sz w:val="18"/>
                <w:szCs w:val="18"/>
              </w:rPr>
            </w:pPr>
            <w:r>
              <w:rPr>
                <w:rFonts w:ascii="微软雅黑" w:eastAsia="微软雅黑" w:hAnsi="微软雅黑" w:cs="微软雅黑" w:hint="eastAsia"/>
                <w:sz w:val="18"/>
                <w:szCs w:val="18"/>
              </w:rPr>
              <w:t>人员资质；</w:t>
            </w:r>
          </w:p>
          <w:p w:rsidR="00405F55" w:rsidRDefault="00000000">
            <w:pPr>
              <w:pStyle w:val="ac"/>
              <w:spacing w:line="221" w:lineRule="exact"/>
              <w:ind w:firstLine="0"/>
              <w:rPr>
                <w:rFonts w:ascii="微软雅黑" w:eastAsia="微软雅黑" w:hAnsi="微软雅黑" w:cs="微软雅黑"/>
                <w:sz w:val="18"/>
                <w:szCs w:val="18"/>
              </w:rPr>
            </w:pPr>
            <w:r>
              <w:rPr>
                <w:rFonts w:ascii="微软雅黑" w:eastAsia="微软雅黑" w:hAnsi="微软雅黑" w:cs="微软雅黑" w:hint="eastAsia"/>
                <w:sz w:val="18"/>
                <w:szCs w:val="18"/>
              </w:rPr>
              <w:t>取样方法 （含密码</w:t>
            </w:r>
            <w:proofErr w:type="gramStart"/>
            <w:r>
              <w:rPr>
                <w:rFonts w:ascii="微软雅黑" w:eastAsia="微软雅黑" w:hAnsi="微软雅黑" w:cs="微软雅黑" w:hint="eastAsia"/>
                <w:sz w:val="18"/>
                <w:szCs w:val="18"/>
              </w:rPr>
              <w:t>平行样未按</w:t>
            </w:r>
            <w:proofErr w:type="gramEnd"/>
            <w:r>
              <w:rPr>
                <w:rFonts w:ascii="微软雅黑" w:eastAsia="微软雅黑" w:hAnsi="微软雅黑" w:cs="微软雅黑" w:hint="eastAsia"/>
                <w:sz w:val="18"/>
                <w:szCs w:val="18"/>
              </w:rPr>
              <w:t>要求取样）、 深度、 取</w:t>
            </w:r>
            <w:r>
              <w:rPr>
                <w:rFonts w:ascii="微软雅黑" w:eastAsia="微软雅黑" w:hAnsi="微软雅黑" w:cs="微软雅黑" w:hint="eastAsia"/>
                <w:sz w:val="18"/>
                <w:szCs w:val="18"/>
              </w:rPr>
              <w:br/>
            </w:r>
            <w:proofErr w:type="gramStart"/>
            <w:r>
              <w:rPr>
                <w:rFonts w:ascii="微软雅黑" w:eastAsia="微软雅黑" w:hAnsi="微软雅黑" w:cs="微软雅黑" w:hint="eastAsia"/>
                <w:sz w:val="18"/>
                <w:szCs w:val="18"/>
              </w:rPr>
              <w:t>样量等</w:t>
            </w:r>
            <w:proofErr w:type="gramEnd"/>
          </w:p>
        </w:tc>
        <w:tc>
          <w:tcPr>
            <w:tcW w:w="3096" w:type="dxa"/>
            <w:tcBorders>
              <w:top w:val="single" w:sz="4" w:space="0" w:color="auto"/>
              <w:left w:val="single" w:sz="4" w:space="0" w:color="auto"/>
              <w:bottom w:val="single" w:sz="4" w:space="0" w:color="auto"/>
              <w:right w:val="single" w:sz="4" w:space="0" w:color="auto"/>
            </w:tcBorders>
            <w:shd w:val="clear" w:color="auto" w:fill="auto"/>
            <w:vAlign w:val="center"/>
          </w:tcPr>
          <w:p w:rsidR="00405F55" w:rsidRDefault="00000000">
            <w:pPr>
              <w:pStyle w:val="ac"/>
              <w:spacing w:line="226" w:lineRule="exact"/>
              <w:ind w:firstLine="0"/>
              <w:rPr>
                <w:rFonts w:ascii="微软雅黑" w:eastAsia="微软雅黑" w:hAnsi="微软雅黑" w:cs="微软雅黑"/>
                <w:sz w:val="15"/>
                <w:szCs w:val="15"/>
              </w:rPr>
            </w:pPr>
            <w:r>
              <w:rPr>
                <w:rFonts w:ascii="微软雅黑" w:eastAsia="微软雅黑" w:hAnsi="微软雅黑" w:cs="微软雅黑" w:hint="eastAsia"/>
                <w:sz w:val="18"/>
                <w:szCs w:val="18"/>
              </w:rPr>
              <w:t>省级抽查率</w:t>
            </w:r>
            <w:r>
              <w:rPr>
                <w:rFonts w:ascii="微软雅黑" w:eastAsia="微软雅黑" w:hAnsi="微软雅黑" w:cs="微软雅黑" w:hint="eastAsia"/>
                <w:sz w:val="15"/>
                <w:szCs w:val="15"/>
              </w:rPr>
              <w:t>＞</w:t>
            </w:r>
            <w:r>
              <w:rPr>
                <w:rFonts w:ascii="微软雅黑" w:eastAsia="微软雅黑" w:hAnsi="微软雅黑" w:cs="微软雅黑" w:hint="eastAsia"/>
                <w:sz w:val="18"/>
                <w:szCs w:val="18"/>
              </w:rPr>
              <w:t>采样任务</w:t>
            </w:r>
            <w:r>
              <w:rPr>
                <w:rFonts w:ascii="微软雅黑" w:eastAsia="微软雅黑" w:hAnsi="微软雅黑" w:cs="微软雅黑" w:hint="eastAsia"/>
                <w:sz w:val="15"/>
                <w:szCs w:val="15"/>
              </w:rPr>
              <w:t>5%；</w:t>
            </w:r>
            <w:r>
              <w:rPr>
                <w:rFonts w:ascii="微软雅黑" w:eastAsia="微软雅黑" w:hAnsi="微软雅黑" w:cs="微软雅黑" w:hint="eastAsia"/>
                <w:sz w:val="15"/>
                <w:szCs w:val="15"/>
              </w:rPr>
              <w:br/>
            </w:r>
            <w:r>
              <w:rPr>
                <w:rFonts w:ascii="微软雅黑" w:eastAsia="微软雅黑" w:hAnsi="微软雅黑" w:cs="微软雅黑" w:hint="eastAsia"/>
                <w:sz w:val="18"/>
                <w:szCs w:val="18"/>
              </w:rPr>
              <w:t>国家级抽查率</w:t>
            </w:r>
            <w:r>
              <w:rPr>
                <w:rFonts w:ascii="微软雅黑" w:eastAsia="微软雅黑" w:hAnsi="微软雅黑" w:cs="微软雅黑" w:hint="eastAsia"/>
                <w:sz w:val="15"/>
                <w:szCs w:val="15"/>
              </w:rPr>
              <w:t>＞</w:t>
            </w:r>
            <w:r>
              <w:rPr>
                <w:rFonts w:ascii="微软雅黑" w:eastAsia="微软雅黑" w:hAnsi="微软雅黑" w:cs="微软雅黑" w:hint="eastAsia"/>
                <w:sz w:val="18"/>
                <w:szCs w:val="18"/>
              </w:rPr>
              <w:t>采样任务</w:t>
            </w:r>
            <w:r>
              <w:rPr>
                <w:rFonts w:ascii="微软雅黑" w:eastAsia="微软雅黑" w:hAnsi="微软雅黑" w:cs="微软雅黑" w:hint="eastAsia"/>
                <w:sz w:val="15"/>
                <w:szCs w:val="15"/>
              </w:rPr>
              <w:t>2%</w:t>
            </w:r>
          </w:p>
        </w:tc>
      </w:tr>
    </w:tbl>
    <w:p w:rsidR="00405F55" w:rsidRDefault="00405F55">
      <w:pPr>
        <w:spacing w:after="499" w:line="1" w:lineRule="exact"/>
        <w:rPr>
          <w:lang w:eastAsia="zh-CN"/>
        </w:rPr>
      </w:pPr>
    </w:p>
    <w:p w:rsidR="00405F55" w:rsidRDefault="00000000">
      <w:pPr>
        <w:pStyle w:val="1"/>
        <w:spacing w:before="0" w:after="0" w:line="360" w:lineRule="auto"/>
        <w:rPr>
          <w:rFonts w:ascii="微软雅黑" w:eastAsia="微软雅黑" w:hAnsi="微软雅黑" w:cs="微软雅黑"/>
          <w:sz w:val="32"/>
          <w:szCs w:val="32"/>
          <w:lang w:eastAsia="zh-CN"/>
        </w:rPr>
      </w:pPr>
      <w:bookmarkStart w:id="152" w:name="_Toc21460"/>
      <w:r>
        <w:rPr>
          <w:rFonts w:ascii="微软雅黑" w:eastAsia="微软雅黑" w:hAnsi="微软雅黑" w:cs="微软雅黑" w:hint="eastAsia"/>
          <w:sz w:val="32"/>
          <w:szCs w:val="32"/>
          <w:lang w:eastAsia="zh-CN"/>
        </w:rPr>
        <w:t>9内业测试化验</w:t>
      </w:r>
      <w:bookmarkEnd w:id="152"/>
    </w:p>
    <w:p w:rsidR="00405F55" w:rsidRDefault="00000000">
      <w:pPr>
        <w:pStyle w:val="2"/>
        <w:spacing w:before="0" w:after="0" w:line="360" w:lineRule="auto"/>
        <w:rPr>
          <w:rFonts w:ascii="宋体" w:eastAsia="宋体" w:hAnsi="宋体" w:cs="宋体"/>
          <w:sz w:val="30"/>
          <w:szCs w:val="30"/>
          <w:lang w:eastAsia="zh-CN"/>
        </w:rPr>
      </w:pPr>
      <w:bookmarkStart w:id="153" w:name="_Toc26617"/>
      <w:r>
        <w:rPr>
          <w:rFonts w:ascii="宋体" w:eastAsia="宋体" w:hAnsi="宋体" w:cs="宋体" w:hint="eastAsia"/>
          <w:sz w:val="30"/>
          <w:szCs w:val="30"/>
          <w:lang w:eastAsia="zh-CN"/>
        </w:rPr>
        <w:t>9. 1 土壤样品制备与检测技术规范</w:t>
      </w:r>
      <w:bookmarkEnd w:id="153"/>
    </w:p>
    <w:p w:rsidR="00405F55" w:rsidRDefault="00000000">
      <w:pPr>
        <w:pStyle w:val="12"/>
        <w:spacing w:after="160" w:line="323" w:lineRule="exact"/>
        <w:ind w:firstLine="420"/>
        <w:rPr>
          <w:color w:val="231F20"/>
          <w:sz w:val="24"/>
          <w:szCs w:val="24"/>
        </w:rPr>
      </w:pPr>
      <w:r>
        <w:rPr>
          <w:color w:val="231F20"/>
          <w:sz w:val="24"/>
          <w:szCs w:val="24"/>
        </w:rPr>
        <w:t>全国土壤普查办，组织编写«第三次全国土壤普查土壤样品制备与检测技术规范</w:t>
      </w:r>
      <w:proofErr w:type="gramStart"/>
      <w:r>
        <w:rPr>
          <w:color w:val="231F20"/>
          <w:sz w:val="24"/>
          <w:szCs w:val="24"/>
        </w:rPr>
        <w:t>》</w:t>
      </w:r>
      <w:proofErr w:type="gramEnd"/>
      <w:r>
        <w:rPr>
          <w:color w:val="231F20"/>
          <w:sz w:val="24"/>
          <w:szCs w:val="24"/>
        </w:rPr>
        <w:t>，明确样品制备、分样、保存、流转、检测指标与方法等技术规范。</w:t>
      </w:r>
    </w:p>
    <w:p w:rsidR="00405F55" w:rsidRDefault="00000000">
      <w:pPr>
        <w:pStyle w:val="12"/>
        <w:spacing w:after="160" w:line="323" w:lineRule="exact"/>
        <w:ind w:firstLine="420"/>
        <w:rPr>
          <w:color w:val="231F20"/>
          <w:sz w:val="24"/>
          <w:szCs w:val="24"/>
        </w:rPr>
      </w:pPr>
      <w:r>
        <w:rPr>
          <w:color w:val="231F20"/>
          <w:sz w:val="24"/>
          <w:szCs w:val="24"/>
        </w:rPr>
        <w:t>各省级土壤普查办，参照本技术规范，负责开展区域内土壤样品制备（剖面整段标本制作）、分样、保存、流转、检测等工作。</w:t>
      </w:r>
    </w:p>
    <w:p w:rsidR="00405F55" w:rsidRDefault="00000000">
      <w:pPr>
        <w:pStyle w:val="2"/>
        <w:spacing w:before="0" w:after="0" w:line="360" w:lineRule="auto"/>
        <w:rPr>
          <w:rFonts w:ascii="宋体" w:eastAsia="宋体" w:hAnsi="宋体" w:cs="宋体"/>
          <w:sz w:val="30"/>
          <w:szCs w:val="30"/>
          <w:lang w:eastAsia="zh-CN"/>
        </w:rPr>
      </w:pPr>
      <w:bookmarkStart w:id="154" w:name="_Toc17901"/>
      <w:r>
        <w:rPr>
          <w:rFonts w:ascii="宋体" w:eastAsia="宋体" w:hAnsi="宋体" w:cs="宋体" w:hint="eastAsia"/>
          <w:sz w:val="30"/>
          <w:szCs w:val="30"/>
          <w:lang w:eastAsia="zh-CN"/>
        </w:rPr>
        <w:t>9. 2样品制备与分发</w:t>
      </w:r>
      <w:bookmarkEnd w:id="154"/>
    </w:p>
    <w:p w:rsidR="00405F55" w:rsidRDefault="00000000">
      <w:pPr>
        <w:pStyle w:val="12"/>
        <w:spacing w:after="160" w:line="323" w:lineRule="exact"/>
        <w:ind w:firstLine="420"/>
        <w:rPr>
          <w:color w:val="231F20"/>
          <w:sz w:val="24"/>
          <w:szCs w:val="24"/>
        </w:rPr>
      </w:pPr>
      <w:r>
        <w:rPr>
          <w:color w:val="231F20"/>
          <w:sz w:val="24"/>
          <w:szCs w:val="24"/>
        </w:rPr>
        <w:t>筛选的检测实验室（或专业制样单位）负责样品制备工作，省级质控实验室负责密码样添加、样品转码与分发工作。</w:t>
      </w:r>
    </w:p>
    <w:p w:rsidR="00405F55" w:rsidRDefault="00000000">
      <w:pPr>
        <w:pStyle w:val="12"/>
        <w:spacing w:after="160" w:line="323" w:lineRule="exact"/>
        <w:ind w:firstLine="420"/>
        <w:rPr>
          <w:color w:val="231F20"/>
          <w:sz w:val="24"/>
          <w:szCs w:val="24"/>
        </w:rPr>
      </w:pPr>
      <w:r>
        <w:rPr>
          <w:color w:val="231F20"/>
          <w:sz w:val="24"/>
          <w:szCs w:val="24"/>
        </w:rPr>
        <w:t>样品制备完成后，省级质量控制实验室负责添加标准样品（或参比样品）、平行样等，分别按照耕地园地、林地草地每50个样品（至少含1个标样与1个平行样）组成一个批次，按照土壤普查工作平台样品任务清单，分发寄往相应的检测机构或样本库。分发至土壤检测实验室的样品，需进行检测样品的二次编码。</w:t>
      </w:r>
    </w:p>
    <w:p w:rsidR="00405F55" w:rsidRDefault="00000000">
      <w:pPr>
        <w:pStyle w:val="12"/>
        <w:spacing w:after="160" w:line="323" w:lineRule="exact"/>
        <w:ind w:firstLine="420"/>
        <w:rPr>
          <w:color w:val="231F20"/>
          <w:sz w:val="24"/>
          <w:szCs w:val="24"/>
        </w:rPr>
      </w:pPr>
      <w:r>
        <w:rPr>
          <w:color w:val="231F20"/>
          <w:sz w:val="24"/>
          <w:szCs w:val="24"/>
        </w:rPr>
        <w:t>样品分发至土壤普查工作平台样品任务清单中的土壤检测实验室进行样品测试，同时土壤普查工作平台样品任务清单中需抽检的质控样品，需流转到质控实验室进行指标测试。具体测试指标参见样品任务清单。</w:t>
      </w:r>
    </w:p>
    <w:p w:rsidR="00405F55" w:rsidRDefault="00000000">
      <w:pPr>
        <w:pStyle w:val="12"/>
        <w:spacing w:after="160" w:line="323" w:lineRule="exact"/>
        <w:ind w:firstLine="420"/>
        <w:rPr>
          <w:color w:val="231F20"/>
          <w:sz w:val="24"/>
          <w:szCs w:val="24"/>
        </w:rPr>
      </w:pPr>
      <w:r>
        <w:rPr>
          <w:color w:val="231F20"/>
          <w:sz w:val="24"/>
          <w:szCs w:val="24"/>
        </w:rPr>
        <w:t>分发样品时，样品制备实验室需要保留一定数量的样品，确认检测实验室收到样品，否则需重新邮递同等批次的样品。</w:t>
      </w:r>
    </w:p>
    <w:p w:rsidR="00405F55" w:rsidRDefault="00000000">
      <w:pPr>
        <w:pStyle w:val="12"/>
        <w:spacing w:after="160" w:line="323" w:lineRule="exact"/>
        <w:ind w:firstLine="420"/>
        <w:rPr>
          <w:color w:val="231F20"/>
          <w:sz w:val="24"/>
          <w:szCs w:val="24"/>
        </w:rPr>
      </w:pPr>
      <w:r>
        <w:rPr>
          <w:color w:val="231F20"/>
          <w:sz w:val="24"/>
          <w:szCs w:val="24"/>
        </w:rPr>
        <w:t>“样品流转</w:t>
      </w:r>
      <w:r>
        <w:rPr>
          <w:color w:val="231F20"/>
          <w:sz w:val="24"/>
          <w:szCs w:val="24"/>
          <w:lang w:val="en-US"/>
        </w:rPr>
        <w:t>App”</w:t>
      </w:r>
      <w:r>
        <w:rPr>
          <w:color w:val="231F20"/>
          <w:sz w:val="24"/>
          <w:szCs w:val="24"/>
        </w:rPr>
        <w:t>任务清单中流转到样本库的混合土样，原则上</w:t>
      </w:r>
      <w:proofErr w:type="gramStart"/>
      <w:r>
        <w:rPr>
          <w:color w:val="231F20"/>
          <w:sz w:val="24"/>
          <w:szCs w:val="24"/>
        </w:rPr>
        <w:t>样品库需优先</w:t>
      </w:r>
      <w:proofErr w:type="gramEnd"/>
      <w:r>
        <w:rPr>
          <w:color w:val="231F20"/>
          <w:sz w:val="24"/>
          <w:szCs w:val="24"/>
        </w:rPr>
        <w:t>保存原状样，再考虑保存磨碎过筛样。</w:t>
      </w:r>
    </w:p>
    <w:p w:rsidR="00405F55" w:rsidRDefault="00000000">
      <w:pPr>
        <w:pStyle w:val="2"/>
        <w:spacing w:before="0" w:after="0" w:line="360" w:lineRule="auto"/>
        <w:rPr>
          <w:rFonts w:ascii="宋体" w:eastAsia="宋体" w:hAnsi="宋体" w:cs="宋体"/>
          <w:sz w:val="30"/>
          <w:szCs w:val="30"/>
          <w:lang w:eastAsia="zh-CN"/>
        </w:rPr>
      </w:pPr>
      <w:bookmarkStart w:id="155" w:name="_Toc25175"/>
      <w:r>
        <w:rPr>
          <w:rFonts w:ascii="宋体" w:eastAsia="宋体" w:hAnsi="宋体" w:cs="宋体" w:hint="eastAsia"/>
          <w:sz w:val="30"/>
          <w:szCs w:val="30"/>
          <w:lang w:eastAsia="zh-CN"/>
        </w:rPr>
        <w:lastRenderedPageBreak/>
        <w:t>9. 3 土壤理化测试指标与方法</w:t>
      </w:r>
      <w:bookmarkEnd w:id="155"/>
    </w:p>
    <w:p w:rsidR="00405F55" w:rsidRDefault="00000000">
      <w:pPr>
        <w:pStyle w:val="12"/>
        <w:spacing w:after="160" w:line="323" w:lineRule="exact"/>
        <w:ind w:firstLine="420"/>
        <w:rPr>
          <w:color w:val="231F20"/>
          <w:sz w:val="24"/>
          <w:szCs w:val="24"/>
        </w:rPr>
      </w:pPr>
      <w:r>
        <w:rPr>
          <w:color w:val="231F20"/>
          <w:sz w:val="24"/>
          <w:szCs w:val="24"/>
        </w:rPr>
        <w:t>分发的土壤样品，到达检测实验室或质量控制实验室后，采用</w:t>
      </w:r>
      <w:proofErr w:type="gramStart"/>
      <w:r>
        <w:rPr>
          <w:color w:val="231F20"/>
          <w:sz w:val="24"/>
          <w:szCs w:val="24"/>
        </w:rPr>
        <w:t>“样品流转</w:t>
      </w:r>
      <w:r>
        <w:rPr>
          <w:color w:val="231F20"/>
          <w:sz w:val="24"/>
          <w:szCs w:val="24"/>
          <w:lang w:val="en-US"/>
        </w:rPr>
        <w:t>App”</w:t>
      </w:r>
      <w:r>
        <w:rPr>
          <w:color w:val="231F20"/>
          <w:sz w:val="24"/>
          <w:szCs w:val="24"/>
        </w:rPr>
        <w:t>扫码登记</w:t>
      </w:r>
      <w:proofErr w:type="gramEnd"/>
      <w:r>
        <w:rPr>
          <w:color w:val="231F20"/>
          <w:sz w:val="24"/>
          <w:szCs w:val="24"/>
        </w:rPr>
        <w:t>，并在土壤普查工作平台上</w:t>
      </w:r>
      <w:proofErr w:type="gramStart"/>
      <w:r>
        <w:rPr>
          <w:color w:val="231F20"/>
          <w:sz w:val="24"/>
          <w:szCs w:val="24"/>
        </w:rPr>
        <w:t>填报收样</w:t>
      </w:r>
      <w:proofErr w:type="gramEnd"/>
      <w:r>
        <w:rPr>
          <w:color w:val="231F20"/>
          <w:sz w:val="24"/>
          <w:szCs w:val="24"/>
        </w:rPr>
        <w:t>的实验室信息，按照土壤普查工作平台样品任务清单中的样品测试指标与测试方法，进行样品的物理、化学指标测定。耕地园地的土壤样品检测指标，以及林地、草地、盐碱荒地的土壤样品检测指标见«第三次全国土壤普查土壤样品制备与检测技术规范</w:t>
      </w:r>
      <w:proofErr w:type="gramStart"/>
      <w:r>
        <w:rPr>
          <w:color w:val="231F20"/>
          <w:sz w:val="24"/>
          <w:szCs w:val="24"/>
        </w:rPr>
        <w:t>》</w:t>
      </w:r>
      <w:proofErr w:type="gramEnd"/>
      <w:r>
        <w:rPr>
          <w:color w:val="231F20"/>
          <w:sz w:val="24"/>
          <w:szCs w:val="24"/>
        </w:rPr>
        <w:t>。</w:t>
      </w:r>
    </w:p>
    <w:p w:rsidR="00405F55" w:rsidRDefault="00000000">
      <w:pPr>
        <w:pStyle w:val="2"/>
        <w:spacing w:before="0" w:after="0" w:line="360" w:lineRule="auto"/>
        <w:rPr>
          <w:rFonts w:ascii="宋体" w:eastAsia="宋体" w:hAnsi="宋体" w:cs="宋体"/>
          <w:sz w:val="30"/>
          <w:szCs w:val="30"/>
          <w:lang w:eastAsia="zh-CN"/>
        </w:rPr>
      </w:pPr>
      <w:bookmarkStart w:id="156" w:name="_Toc6641"/>
      <w:r>
        <w:rPr>
          <w:rFonts w:ascii="宋体" w:eastAsia="宋体" w:hAnsi="宋体" w:cs="宋体" w:hint="eastAsia"/>
          <w:sz w:val="30"/>
          <w:szCs w:val="30"/>
          <w:lang w:eastAsia="zh-CN"/>
        </w:rPr>
        <w:t>9. 4测试数据填报与审核</w:t>
      </w:r>
      <w:bookmarkEnd w:id="156"/>
    </w:p>
    <w:p w:rsidR="00405F55" w:rsidRDefault="00000000">
      <w:pPr>
        <w:pStyle w:val="12"/>
        <w:spacing w:after="160" w:line="323" w:lineRule="exact"/>
        <w:ind w:firstLine="420"/>
        <w:rPr>
          <w:color w:val="231F20"/>
          <w:sz w:val="24"/>
          <w:szCs w:val="24"/>
        </w:rPr>
      </w:pPr>
      <w:r>
        <w:rPr>
          <w:color w:val="231F20"/>
          <w:sz w:val="24"/>
          <w:szCs w:val="24"/>
        </w:rPr>
        <w:t>各检测实验室按照«第三次全国土壤普查全程质量控制技术规范</w:t>
      </w:r>
      <w:proofErr w:type="gramStart"/>
      <w:r>
        <w:rPr>
          <w:color w:val="231F20"/>
          <w:sz w:val="24"/>
          <w:szCs w:val="24"/>
        </w:rPr>
        <w:t>》</w:t>
      </w:r>
      <w:proofErr w:type="gramEnd"/>
      <w:r>
        <w:rPr>
          <w:color w:val="231F20"/>
          <w:sz w:val="24"/>
          <w:szCs w:val="24"/>
        </w:rPr>
        <w:t>中的</w:t>
      </w:r>
      <w:proofErr w:type="gramStart"/>
      <w:r>
        <w:rPr>
          <w:color w:val="231F20"/>
          <w:sz w:val="24"/>
          <w:szCs w:val="24"/>
        </w:rPr>
        <w:t>内部质</w:t>
      </w:r>
      <w:proofErr w:type="gramEnd"/>
      <w:r>
        <w:rPr>
          <w:color w:val="231F20"/>
          <w:sz w:val="24"/>
          <w:szCs w:val="24"/>
        </w:rPr>
        <w:t>控要求，对检测数据质量进行审核，并完成数据填报。填报的数据，除了土壤普查工作平台阈值限定外，各省需对本省测试数据的质量进行审核，审核通过后，方可上传至国家土壤普查工作平台的数据库系统。国家级专家，需对各省汇交的数据质量进行审核。</w:t>
      </w:r>
    </w:p>
    <w:p w:rsidR="00405F55" w:rsidRDefault="00000000">
      <w:pPr>
        <w:pStyle w:val="12"/>
        <w:spacing w:after="160" w:line="323" w:lineRule="exact"/>
        <w:ind w:firstLine="420"/>
        <w:rPr>
          <w:color w:val="231F20"/>
          <w:sz w:val="24"/>
          <w:szCs w:val="24"/>
        </w:rPr>
      </w:pPr>
      <w:r>
        <w:rPr>
          <w:color w:val="231F20"/>
          <w:sz w:val="24"/>
          <w:szCs w:val="24"/>
        </w:rPr>
        <w:t>对于不达标的数据项，需开展补测，甚至是重新采样测试。</w:t>
      </w:r>
    </w:p>
    <w:p w:rsidR="00405F55" w:rsidRDefault="00000000">
      <w:pPr>
        <w:pStyle w:val="2"/>
        <w:spacing w:before="0" w:after="0" w:line="360" w:lineRule="auto"/>
        <w:rPr>
          <w:rFonts w:ascii="宋体" w:eastAsia="宋体" w:hAnsi="宋体" w:cs="宋体"/>
          <w:sz w:val="30"/>
          <w:szCs w:val="30"/>
          <w:lang w:eastAsia="zh-CN"/>
        </w:rPr>
      </w:pPr>
      <w:bookmarkStart w:id="157" w:name="_Toc32142"/>
      <w:r>
        <w:rPr>
          <w:rFonts w:ascii="宋体" w:eastAsia="宋体" w:hAnsi="宋体" w:cs="宋体" w:hint="eastAsia"/>
          <w:sz w:val="30"/>
          <w:szCs w:val="30"/>
          <w:lang w:eastAsia="zh-CN"/>
        </w:rPr>
        <w:t>9. 5内业测试的质量控制</w:t>
      </w:r>
      <w:bookmarkEnd w:id="157"/>
    </w:p>
    <w:p w:rsidR="00405F55" w:rsidRDefault="00000000">
      <w:pPr>
        <w:pStyle w:val="12"/>
        <w:spacing w:after="160" w:line="323" w:lineRule="exact"/>
        <w:ind w:firstLine="420"/>
        <w:rPr>
          <w:color w:val="231F20"/>
          <w:sz w:val="24"/>
          <w:szCs w:val="24"/>
        </w:rPr>
      </w:pPr>
      <w:r>
        <w:rPr>
          <w:color w:val="231F20"/>
          <w:sz w:val="24"/>
          <w:szCs w:val="24"/>
        </w:rPr>
        <w:t>内业测试质量控制，包括土壤样品的制备、保存、流转、分析测试、数据审核等环节的</w:t>
      </w:r>
      <w:proofErr w:type="gramStart"/>
      <w:r>
        <w:rPr>
          <w:color w:val="231F20"/>
          <w:sz w:val="24"/>
          <w:szCs w:val="24"/>
        </w:rPr>
        <w:t>内部质</w:t>
      </w:r>
      <w:proofErr w:type="gramEnd"/>
      <w:r>
        <w:rPr>
          <w:color w:val="231F20"/>
          <w:sz w:val="24"/>
          <w:szCs w:val="24"/>
        </w:rPr>
        <w:t>控和</w:t>
      </w:r>
      <w:proofErr w:type="gramStart"/>
      <w:r>
        <w:rPr>
          <w:color w:val="231F20"/>
          <w:sz w:val="24"/>
          <w:szCs w:val="24"/>
        </w:rPr>
        <w:t>外部质</w:t>
      </w:r>
      <w:proofErr w:type="gramEnd"/>
      <w:r>
        <w:rPr>
          <w:color w:val="231F20"/>
          <w:sz w:val="24"/>
          <w:szCs w:val="24"/>
        </w:rPr>
        <w:t>控。</w:t>
      </w:r>
      <w:proofErr w:type="gramStart"/>
      <w:r>
        <w:rPr>
          <w:color w:val="231F20"/>
          <w:sz w:val="24"/>
          <w:szCs w:val="24"/>
        </w:rPr>
        <w:t>内部质控是</w:t>
      </w:r>
      <w:proofErr w:type="gramEnd"/>
      <w:r>
        <w:rPr>
          <w:color w:val="231F20"/>
          <w:sz w:val="24"/>
          <w:szCs w:val="24"/>
        </w:rPr>
        <w:t>检测实验室的内部工作过程自控，</w:t>
      </w:r>
      <w:proofErr w:type="gramStart"/>
      <w:r>
        <w:rPr>
          <w:color w:val="231F20"/>
          <w:sz w:val="24"/>
          <w:szCs w:val="24"/>
        </w:rPr>
        <w:t>外部质控是省级与</w:t>
      </w:r>
      <w:proofErr w:type="gramEnd"/>
      <w:r>
        <w:rPr>
          <w:color w:val="231F20"/>
          <w:sz w:val="24"/>
          <w:szCs w:val="24"/>
        </w:rPr>
        <w:t>全国土壤普查办组织质量控制单位，负责对样品测试质量的监督检查。主要质</w:t>
      </w:r>
      <w:proofErr w:type="gramStart"/>
      <w:r>
        <w:rPr>
          <w:color w:val="231F20"/>
          <w:sz w:val="24"/>
          <w:szCs w:val="24"/>
        </w:rPr>
        <w:t>控内容</w:t>
      </w:r>
      <w:proofErr w:type="gramEnd"/>
      <w:r>
        <w:rPr>
          <w:color w:val="231F20"/>
          <w:sz w:val="24"/>
          <w:szCs w:val="24"/>
        </w:rPr>
        <w:t>见表2。</w:t>
      </w:r>
    </w:p>
    <w:p w:rsidR="00405F55" w:rsidRDefault="00000000">
      <w:pPr>
        <w:pStyle w:val="aa"/>
        <w:ind w:left="3634"/>
        <w:rPr>
          <w:rFonts w:ascii="微软雅黑" w:eastAsia="微软雅黑" w:hAnsi="微软雅黑" w:cs="微软雅黑"/>
        </w:rPr>
      </w:pPr>
      <w:r>
        <w:rPr>
          <w:rFonts w:ascii="微软雅黑" w:eastAsia="微软雅黑" w:hAnsi="微软雅黑" w:cs="微软雅黑" w:hint="eastAsia"/>
        </w:rPr>
        <w:t>表2内业测试质量控制</w:t>
      </w:r>
    </w:p>
    <w:tbl>
      <w:tblPr>
        <w:tblW w:w="0" w:type="auto"/>
        <w:jc w:val="center"/>
        <w:tblLayout w:type="fixed"/>
        <w:tblCellMar>
          <w:left w:w="10" w:type="dxa"/>
          <w:right w:w="10" w:type="dxa"/>
        </w:tblCellMar>
        <w:tblLook w:val="04A0" w:firstRow="1" w:lastRow="0" w:firstColumn="1" w:lastColumn="0" w:noHBand="0" w:noVBand="1"/>
      </w:tblPr>
      <w:tblGrid>
        <w:gridCol w:w="1627"/>
        <w:gridCol w:w="5414"/>
        <w:gridCol w:w="2194"/>
      </w:tblGrid>
      <w:tr w:rsidR="00405F55">
        <w:trPr>
          <w:trHeight w:hRule="exact" w:val="360"/>
          <w:jc w:val="center"/>
        </w:trPr>
        <w:tc>
          <w:tcPr>
            <w:tcW w:w="1627" w:type="dxa"/>
            <w:tcBorders>
              <w:top w:val="single" w:sz="4" w:space="0" w:color="auto"/>
              <w:left w:val="single" w:sz="4" w:space="0" w:color="auto"/>
            </w:tcBorders>
            <w:shd w:val="clear" w:color="auto" w:fill="auto"/>
            <w:vAlign w:val="center"/>
          </w:tcPr>
          <w:p w:rsidR="00405F55" w:rsidRDefault="00000000">
            <w:pPr>
              <w:pStyle w:val="ac"/>
              <w:spacing w:line="240" w:lineRule="auto"/>
              <w:ind w:firstLine="460"/>
              <w:rPr>
                <w:rFonts w:ascii="微软雅黑" w:eastAsia="微软雅黑" w:hAnsi="微软雅黑" w:cs="微软雅黑"/>
                <w:sz w:val="18"/>
                <w:szCs w:val="18"/>
              </w:rPr>
            </w:pPr>
            <w:r>
              <w:rPr>
                <w:rFonts w:ascii="微软雅黑" w:eastAsia="微软雅黑" w:hAnsi="微软雅黑" w:cs="微软雅黑" w:hint="eastAsia"/>
                <w:sz w:val="18"/>
                <w:szCs w:val="18"/>
              </w:rPr>
              <w:t>质控环节</w:t>
            </w:r>
          </w:p>
        </w:tc>
        <w:tc>
          <w:tcPr>
            <w:tcW w:w="5414" w:type="dxa"/>
            <w:tcBorders>
              <w:top w:val="single" w:sz="4" w:space="0" w:color="auto"/>
              <w:left w:val="single" w:sz="4" w:space="0" w:color="auto"/>
            </w:tcBorders>
            <w:shd w:val="clear" w:color="auto" w:fill="auto"/>
            <w:vAlign w:val="center"/>
          </w:tcPr>
          <w:p w:rsidR="00405F55" w:rsidRDefault="00000000">
            <w:pPr>
              <w:pStyle w:val="ac"/>
              <w:spacing w:line="240" w:lineRule="auto"/>
              <w:ind w:firstLine="0"/>
              <w:jc w:val="center"/>
              <w:rPr>
                <w:rFonts w:ascii="微软雅黑" w:eastAsia="微软雅黑" w:hAnsi="微软雅黑" w:cs="微软雅黑"/>
                <w:sz w:val="18"/>
                <w:szCs w:val="18"/>
              </w:rPr>
            </w:pPr>
            <w:proofErr w:type="gramStart"/>
            <w:r>
              <w:rPr>
                <w:rFonts w:ascii="微软雅黑" w:eastAsia="微软雅黑" w:hAnsi="微软雅黑" w:cs="微软雅黑" w:hint="eastAsia"/>
                <w:sz w:val="18"/>
                <w:szCs w:val="18"/>
              </w:rPr>
              <w:t>内部质</w:t>
            </w:r>
            <w:proofErr w:type="gramEnd"/>
            <w:r>
              <w:rPr>
                <w:rFonts w:ascii="微软雅黑" w:eastAsia="微软雅黑" w:hAnsi="微软雅黑" w:cs="微软雅黑" w:hint="eastAsia"/>
                <w:sz w:val="18"/>
                <w:szCs w:val="18"/>
              </w:rPr>
              <w:t>控</w:t>
            </w:r>
          </w:p>
        </w:tc>
        <w:tc>
          <w:tcPr>
            <w:tcW w:w="2194" w:type="dxa"/>
            <w:tcBorders>
              <w:top w:val="single" w:sz="4" w:space="0" w:color="auto"/>
              <w:left w:val="single" w:sz="4" w:space="0" w:color="auto"/>
              <w:right w:val="single" w:sz="4" w:space="0" w:color="auto"/>
            </w:tcBorders>
            <w:shd w:val="clear" w:color="auto" w:fill="auto"/>
            <w:vAlign w:val="center"/>
          </w:tcPr>
          <w:p w:rsidR="00405F55" w:rsidRDefault="00000000">
            <w:pPr>
              <w:pStyle w:val="ac"/>
              <w:spacing w:line="240" w:lineRule="auto"/>
              <w:ind w:firstLine="0"/>
              <w:jc w:val="center"/>
              <w:rPr>
                <w:rFonts w:ascii="微软雅黑" w:eastAsia="微软雅黑" w:hAnsi="微软雅黑" w:cs="微软雅黑"/>
                <w:sz w:val="18"/>
                <w:szCs w:val="18"/>
              </w:rPr>
            </w:pPr>
            <w:proofErr w:type="gramStart"/>
            <w:r>
              <w:rPr>
                <w:rFonts w:ascii="微软雅黑" w:eastAsia="微软雅黑" w:hAnsi="微软雅黑" w:cs="微软雅黑" w:hint="eastAsia"/>
                <w:sz w:val="18"/>
                <w:szCs w:val="18"/>
              </w:rPr>
              <w:t>外部质</w:t>
            </w:r>
            <w:proofErr w:type="gramEnd"/>
            <w:r>
              <w:rPr>
                <w:rFonts w:ascii="微软雅黑" w:eastAsia="微软雅黑" w:hAnsi="微软雅黑" w:cs="微软雅黑" w:hint="eastAsia"/>
                <w:sz w:val="18"/>
                <w:szCs w:val="18"/>
              </w:rPr>
              <w:t>控</w:t>
            </w:r>
          </w:p>
        </w:tc>
      </w:tr>
      <w:tr w:rsidR="00405F55">
        <w:trPr>
          <w:trHeight w:hRule="exact" w:val="360"/>
          <w:jc w:val="center"/>
        </w:trPr>
        <w:tc>
          <w:tcPr>
            <w:tcW w:w="1627" w:type="dxa"/>
            <w:tcBorders>
              <w:top w:val="single" w:sz="4" w:space="0" w:color="auto"/>
              <w:left w:val="single" w:sz="4" w:space="0" w:color="auto"/>
            </w:tcBorders>
            <w:shd w:val="clear" w:color="auto" w:fill="auto"/>
          </w:tcPr>
          <w:p w:rsidR="00405F55" w:rsidRDefault="00000000">
            <w:pPr>
              <w:pStyle w:val="ac"/>
              <w:spacing w:line="240" w:lineRule="auto"/>
              <w:ind w:firstLine="0"/>
              <w:jc w:val="center"/>
              <w:rPr>
                <w:rFonts w:ascii="微软雅黑" w:eastAsia="微软雅黑" w:hAnsi="微软雅黑" w:cs="微软雅黑"/>
                <w:sz w:val="18"/>
                <w:szCs w:val="18"/>
              </w:rPr>
            </w:pPr>
            <w:r>
              <w:rPr>
                <w:rFonts w:ascii="微软雅黑" w:eastAsia="微软雅黑" w:hAnsi="微软雅黑" w:cs="微软雅黑" w:hint="eastAsia"/>
                <w:sz w:val="18"/>
                <w:szCs w:val="18"/>
              </w:rPr>
              <w:t>运输保存</w:t>
            </w:r>
          </w:p>
        </w:tc>
        <w:tc>
          <w:tcPr>
            <w:tcW w:w="5414" w:type="dxa"/>
            <w:tcBorders>
              <w:top w:val="single" w:sz="4" w:space="0" w:color="auto"/>
              <w:left w:val="single" w:sz="4" w:space="0" w:color="auto"/>
            </w:tcBorders>
            <w:shd w:val="clear" w:color="auto" w:fill="auto"/>
          </w:tcPr>
          <w:p w:rsidR="00405F55" w:rsidRDefault="00000000">
            <w:pPr>
              <w:pStyle w:val="ac"/>
              <w:spacing w:line="240" w:lineRule="auto"/>
              <w:ind w:firstLine="0"/>
              <w:rPr>
                <w:rFonts w:ascii="微软雅黑" w:eastAsia="微软雅黑" w:hAnsi="微软雅黑" w:cs="微软雅黑"/>
                <w:sz w:val="18"/>
                <w:szCs w:val="18"/>
              </w:rPr>
            </w:pPr>
            <w:r>
              <w:rPr>
                <w:rFonts w:ascii="微软雅黑" w:eastAsia="微软雅黑" w:hAnsi="微软雅黑" w:cs="微软雅黑" w:hint="eastAsia"/>
                <w:sz w:val="18"/>
                <w:szCs w:val="18"/>
              </w:rPr>
              <w:t>常温、低温</w:t>
            </w:r>
          </w:p>
        </w:tc>
        <w:tc>
          <w:tcPr>
            <w:tcW w:w="2194" w:type="dxa"/>
            <w:tcBorders>
              <w:top w:val="single" w:sz="4" w:space="0" w:color="auto"/>
              <w:left w:val="single" w:sz="4" w:space="0" w:color="auto"/>
              <w:right w:val="single" w:sz="4" w:space="0" w:color="auto"/>
            </w:tcBorders>
            <w:shd w:val="clear" w:color="auto" w:fill="auto"/>
          </w:tcPr>
          <w:p w:rsidR="00405F55" w:rsidRDefault="00000000">
            <w:pPr>
              <w:pStyle w:val="ac"/>
              <w:spacing w:line="240" w:lineRule="auto"/>
              <w:ind w:firstLine="0"/>
              <w:jc w:val="center"/>
              <w:rPr>
                <w:rFonts w:ascii="微软雅黑" w:eastAsia="微软雅黑" w:hAnsi="微软雅黑" w:cs="微软雅黑"/>
                <w:sz w:val="18"/>
                <w:szCs w:val="18"/>
              </w:rPr>
            </w:pPr>
            <w:r>
              <w:rPr>
                <w:rFonts w:ascii="微软雅黑" w:eastAsia="微软雅黑" w:hAnsi="微软雅黑" w:cs="微软雅黑" w:hint="eastAsia"/>
                <w:sz w:val="18"/>
                <w:szCs w:val="18"/>
              </w:rPr>
              <w:t>流转记录、飞行检查</w:t>
            </w:r>
          </w:p>
        </w:tc>
      </w:tr>
      <w:tr w:rsidR="00405F55">
        <w:trPr>
          <w:trHeight w:hRule="exact" w:val="811"/>
          <w:jc w:val="center"/>
        </w:trPr>
        <w:tc>
          <w:tcPr>
            <w:tcW w:w="1627" w:type="dxa"/>
            <w:tcBorders>
              <w:top w:val="single" w:sz="4" w:space="0" w:color="auto"/>
              <w:left w:val="single" w:sz="4" w:space="0" w:color="auto"/>
            </w:tcBorders>
            <w:shd w:val="clear" w:color="auto" w:fill="auto"/>
            <w:vAlign w:val="center"/>
          </w:tcPr>
          <w:p w:rsidR="00405F55" w:rsidRDefault="00000000">
            <w:pPr>
              <w:pStyle w:val="ac"/>
              <w:spacing w:line="240" w:lineRule="auto"/>
              <w:ind w:firstLine="0"/>
              <w:jc w:val="center"/>
              <w:rPr>
                <w:rFonts w:ascii="微软雅黑" w:eastAsia="微软雅黑" w:hAnsi="微软雅黑" w:cs="微软雅黑"/>
                <w:sz w:val="18"/>
                <w:szCs w:val="18"/>
              </w:rPr>
            </w:pPr>
            <w:r>
              <w:rPr>
                <w:rFonts w:ascii="微软雅黑" w:eastAsia="微软雅黑" w:hAnsi="微软雅黑" w:cs="微软雅黑" w:hint="eastAsia"/>
                <w:sz w:val="18"/>
                <w:szCs w:val="18"/>
              </w:rPr>
              <w:t>制样</w:t>
            </w:r>
          </w:p>
        </w:tc>
        <w:tc>
          <w:tcPr>
            <w:tcW w:w="5414" w:type="dxa"/>
            <w:tcBorders>
              <w:top w:val="single" w:sz="4" w:space="0" w:color="auto"/>
              <w:left w:val="single" w:sz="4" w:space="0" w:color="auto"/>
            </w:tcBorders>
            <w:shd w:val="clear" w:color="auto" w:fill="auto"/>
            <w:vAlign w:val="bottom"/>
          </w:tcPr>
          <w:p w:rsidR="00405F55" w:rsidRDefault="00000000">
            <w:pPr>
              <w:pStyle w:val="ac"/>
              <w:spacing w:line="211" w:lineRule="exact"/>
              <w:ind w:firstLine="0"/>
              <w:rPr>
                <w:rFonts w:ascii="微软雅黑" w:eastAsia="微软雅黑" w:hAnsi="微软雅黑" w:cs="微软雅黑"/>
                <w:sz w:val="15"/>
                <w:szCs w:val="15"/>
              </w:rPr>
            </w:pPr>
            <w:r>
              <w:rPr>
                <w:rFonts w:ascii="微软雅黑" w:eastAsia="微软雅黑" w:hAnsi="微软雅黑" w:cs="微软雅黑" w:hint="eastAsia"/>
                <w:sz w:val="18"/>
                <w:szCs w:val="18"/>
              </w:rPr>
              <w:t>人员资质</w:t>
            </w:r>
            <w:r>
              <w:rPr>
                <w:rFonts w:ascii="微软雅黑" w:eastAsia="微软雅黑" w:hAnsi="微软雅黑" w:cs="微软雅黑" w:hint="eastAsia"/>
                <w:sz w:val="15"/>
                <w:szCs w:val="15"/>
              </w:rPr>
              <w:t>；</w:t>
            </w:r>
          </w:p>
          <w:p w:rsidR="00405F55" w:rsidRDefault="00000000">
            <w:pPr>
              <w:pStyle w:val="ac"/>
              <w:spacing w:line="211" w:lineRule="exact"/>
              <w:ind w:firstLine="0"/>
              <w:rPr>
                <w:rFonts w:ascii="微软雅黑" w:eastAsia="微软雅黑" w:hAnsi="微软雅黑" w:cs="微软雅黑"/>
                <w:sz w:val="15"/>
                <w:szCs w:val="15"/>
              </w:rPr>
            </w:pPr>
            <w:r>
              <w:rPr>
                <w:rFonts w:ascii="微软雅黑" w:eastAsia="微软雅黑" w:hAnsi="微软雅黑" w:cs="微软雅黑" w:hint="eastAsia"/>
                <w:sz w:val="18"/>
                <w:szCs w:val="18"/>
              </w:rPr>
              <w:t>制样场地、工具及包装容器及其视频监控；</w:t>
            </w:r>
            <w:r>
              <w:rPr>
                <w:rFonts w:ascii="微软雅黑" w:eastAsia="微软雅黑" w:hAnsi="微软雅黑" w:cs="微软雅黑" w:hint="eastAsia"/>
                <w:sz w:val="18"/>
                <w:szCs w:val="18"/>
              </w:rPr>
              <w:br/>
              <w:t>样品损失率</w:t>
            </w:r>
            <w:r>
              <w:rPr>
                <w:rFonts w:ascii="微软雅黑" w:eastAsia="微软雅黑" w:hAnsi="微软雅黑" w:cs="微软雅黑" w:hint="eastAsia"/>
                <w:sz w:val="15"/>
                <w:szCs w:val="15"/>
                <w:lang w:val="en-US" w:bidi="en-US"/>
              </w:rPr>
              <w:t>W1</w:t>
            </w:r>
            <w:r>
              <w:rPr>
                <w:rFonts w:ascii="微软雅黑" w:eastAsia="微软雅黑" w:hAnsi="微软雅黑" w:cs="微软雅黑" w:hint="eastAsia"/>
                <w:sz w:val="18"/>
                <w:szCs w:val="18"/>
                <w:lang w:val="en-US" w:bidi="en-US"/>
              </w:rPr>
              <w:t>。</w:t>
            </w:r>
            <w:r>
              <w:rPr>
                <w:rFonts w:ascii="微软雅黑" w:eastAsia="微软雅黑" w:hAnsi="微软雅黑" w:cs="微软雅黑" w:hint="eastAsia"/>
                <w:sz w:val="18"/>
                <w:szCs w:val="18"/>
                <w:lang w:val="en-US" w:eastAsia="en-US" w:bidi="en-US"/>
              </w:rPr>
              <w:t>％,</w:t>
            </w:r>
            <w:r>
              <w:rPr>
                <w:rFonts w:ascii="微软雅黑" w:eastAsia="微软雅黑" w:hAnsi="微软雅黑" w:cs="微软雅黑" w:hint="eastAsia"/>
                <w:sz w:val="18"/>
                <w:szCs w:val="18"/>
              </w:rPr>
              <w:t>内部抽查率</w:t>
            </w:r>
            <w:r>
              <w:rPr>
                <w:rFonts w:ascii="微软雅黑" w:eastAsia="微软雅黑" w:hAnsi="微软雅黑" w:cs="微软雅黑" w:hint="eastAsia"/>
                <w:sz w:val="15"/>
                <w:szCs w:val="15"/>
              </w:rPr>
              <w:t>100%</w:t>
            </w:r>
          </w:p>
        </w:tc>
        <w:tc>
          <w:tcPr>
            <w:tcW w:w="2194" w:type="dxa"/>
            <w:tcBorders>
              <w:top w:val="single" w:sz="4" w:space="0" w:color="auto"/>
              <w:left w:val="single" w:sz="4" w:space="0" w:color="auto"/>
              <w:right w:val="single" w:sz="4" w:space="0" w:color="auto"/>
            </w:tcBorders>
            <w:shd w:val="clear" w:color="auto" w:fill="auto"/>
            <w:vAlign w:val="center"/>
          </w:tcPr>
          <w:p w:rsidR="00405F55" w:rsidRDefault="00000000">
            <w:pPr>
              <w:pStyle w:val="ac"/>
              <w:spacing w:line="226" w:lineRule="exact"/>
              <w:ind w:firstLine="0"/>
              <w:rPr>
                <w:rFonts w:ascii="微软雅黑" w:eastAsia="微软雅黑" w:hAnsi="微软雅黑" w:cs="微软雅黑"/>
                <w:sz w:val="18"/>
                <w:szCs w:val="18"/>
              </w:rPr>
            </w:pPr>
            <w:r>
              <w:rPr>
                <w:rFonts w:ascii="微软雅黑" w:eastAsia="微软雅黑" w:hAnsi="微软雅黑" w:cs="微软雅黑" w:hint="eastAsia"/>
                <w:sz w:val="18"/>
                <w:szCs w:val="18"/>
              </w:rPr>
              <w:t>制</w:t>
            </w:r>
            <w:proofErr w:type="gramStart"/>
            <w:r>
              <w:rPr>
                <w:rFonts w:ascii="微软雅黑" w:eastAsia="微软雅黑" w:hAnsi="微软雅黑" w:cs="微软雅黑" w:hint="eastAsia"/>
                <w:sz w:val="18"/>
                <w:szCs w:val="18"/>
              </w:rPr>
              <w:t>样人员</w:t>
            </w:r>
            <w:proofErr w:type="gramEnd"/>
            <w:r>
              <w:rPr>
                <w:rFonts w:ascii="微软雅黑" w:eastAsia="微软雅黑" w:hAnsi="微软雅黑" w:cs="微软雅黑" w:hint="eastAsia"/>
                <w:sz w:val="18"/>
                <w:szCs w:val="18"/>
              </w:rPr>
              <w:t>培训证书；</w:t>
            </w:r>
            <w:r>
              <w:rPr>
                <w:rFonts w:ascii="微软雅黑" w:eastAsia="微软雅黑" w:hAnsi="微软雅黑" w:cs="微软雅黑" w:hint="eastAsia"/>
                <w:sz w:val="18"/>
                <w:szCs w:val="18"/>
              </w:rPr>
              <w:br/>
              <w:t>影像监控等记录完整性</w:t>
            </w:r>
          </w:p>
        </w:tc>
      </w:tr>
      <w:tr w:rsidR="00405F55">
        <w:trPr>
          <w:trHeight w:hRule="exact" w:val="581"/>
          <w:jc w:val="center"/>
        </w:trPr>
        <w:tc>
          <w:tcPr>
            <w:tcW w:w="1627" w:type="dxa"/>
            <w:tcBorders>
              <w:top w:val="single" w:sz="4" w:space="0" w:color="auto"/>
              <w:left w:val="single" w:sz="4" w:space="0" w:color="auto"/>
            </w:tcBorders>
            <w:shd w:val="clear" w:color="auto" w:fill="auto"/>
            <w:vAlign w:val="center"/>
          </w:tcPr>
          <w:p w:rsidR="00405F55" w:rsidRDefault="00000000">
            <w:pPr>
              <w:pStyle w:val="ac"/>
              <w:spacing w:line="240" w:lineRule="auto"/>
              <w:ind w:firstLine="0"/>
              <w:jc w:val="center"/>
              <w:rPr>
                <w:rFonts w:ascii="微软雅黑" w:eastAsia="微软雅黑" w:hAnsi="微软雅黑" w:cs="微软雅黑"/>
                <w:sz w:val="18"/>
                <w:szCs w:val="18"/>
              </w:rPr>
            </w:pPr>
            <w:r>
              <w:rPr>
                <w:rFonts w:ascii="微软雅黑" w:eastAsia="微软雅黑" w:hAnsi="微软雅黑" w:cs="微软雅黑" w:hint="eastAsia"/>
                <w:sz w:val="18"/>
                <w:szCs w:val="18"/>
              </w:rPr>
              <w:t>分样</w:t>
            </w:r>
          </w:p>
        </w:tc>
        <w:tc>
          <w:tcPr>
            <w:tcW w:w="5414" w:type="dxa"/>
            <w:tcBorders>
              <w:top w:val="single" w:sz="4" w:space="0" w:color="auto"/>
              <w:left w:val="single" w:sz="4" w:space="0" w:color="auto"/>
            </w:tcBorders>
            <w:shd w:val="clear" w:color="auto" w:fill="auto"/>
            <w:vAlign w:val="center"/>
          </w:tcPr>
          <w:p w:rsidR="00405F55" w:rsidRDefault="00000000">
            <w:pPr>
              <w:pStyle w:val="ac"/>
              <w:spacing w:line="240" w:lineRule="auto"/>
              <w:ind w:firstLine="0"/>
              <w:rPr>
                <w:rFonts w:ascii="微软雅黑" w:eastAsia="微软雅黑" w:hAnsi="微软雅黑" w:cs="微软雅黑"/>
                <w:sz w:val="18"/>
                <w:szCs w:val="18"/>
              </w:rPr>
            </w:pPr>
            <w:r>
              <w:rPr>
                <w:rFonts w:ascii="微软雅黑" w:eastAsia="微软雅黑" w:hAnsi="微软雅黑" w:cs="微软雅黑" w:hint="eastAsia"/>
                <w:sz w:val="18"/>
                <w:szCs w:val="18"/>
              </w:rPr>
              <w:t>省级质控实验室添加标样、平行样等，并转码</w:t>
            </w:r>
          </w:p>
        </w:tc>
        <w:tc>
          <w:tcPr>
            <w:tcW w:w="2194" w:type="dxa"/>
            <w:tcBorders>
              <w:top w:val="single" w:sz="4" w:space="0" w:color="auto"/>
              <w:left w:val="single" w:sz="4" w:space="0" w:color="auto"/>
              <w:right w:val="single" w:sz="4" w:space="0" w:color="auto"/>
            </w:tcBorders>
            <w:shd w:val="clear" w:color="auto" w:fill="auto"/>
            <w:vAlign w:val="bottom"/>
          </w:tcPr>
          <w:p w:rsidR="00405F55" w:rsidRDefault="00000000">
            <w:pPr>
              <w:pStyle w:val="ac"/>
              <w:spacing w:line="226" w:lineRule="exact"/>
              <w:ind w:firstLine="0"/>
              <w:rPr>
                <w:rFonts w:ascii="微软雅黑" w:eastAsia="微软雅黑" w:hAnsi="微软雅黑" w:cs="微软雅黑"/>
                <w:sz w:val="18"/>
                <w:szCs w:val="18"/>
              </w:rPr>
            </w:pPr>
            <w:r>
              <w:rPr>
                <w:rFonts w:ascii="微软雅黑" w:eastAsia="微软雅黑" w:hAnsi="微软雅黑" w:cs="微软雅黑" w:hint="eastAsia"/>
                <w:sz w:val="18"/>
                <w:szCs w:val="18"/>
              </w:rPr>
              <w:t>根据标样、平行</w:t>
            </w:r>
            <w:proofErr w:type="gramStart"/>
            <w:r>
              <w:rPr>
                <w:rFonts w:ascii="微软雅黑" w:eastAsia="微软雅黑" w:hAnsi="微软雅黑" w:cs="微软雅黑" w:hint="eastAsia"/>
                <w:sz w:val="18"/>
                <w:szCs w:val="18"/>
              </w:rPr>
              <w:t>样等检</w:t>
            </w:r>
            <w:proofErr w:type="gramEnd"/>
            <w:r>
              <w:rPr>
                <w:rFonts w:ascii="微软雅黑" w:eastAsia="微软雅黑" w:hAnsi="微软雅黑" w:cs="微软雅黑" w:hint="eastAsia"/>
                <w:sz w:val="18"/>
                <w:szCs w:val="18"/>
              </w:rPr>
              <w:br/>
              <w:t>测情况，进行评定</w:t>
            </w:r>
          </w:p>
        </w:tc>
      </w:tr>
      <w:tr w:rsidR="00405F55">
        <w:trPr>
          <w:trHeight w:hRule="exact" w:val="1037"/>
          <w:jc w:val="center"/>
        </w:trPr>
        <w:tc>
          <w:tcPr>
            <w:tcW w:w="1627" w:type="dxa"/>
            <w:tcBorders>
              <w:top w:val="single" w:sz="4" w:space="0" w:color="auto"/>
              <w:left w:val="single" w:sz="4" w:space="0" w:color="auto"/>
            </w:tcBorders>
            <w:shd w:val="clear" w:color="auto" w:fill="auto"/>
            <w:vAlign w:val="center"/>
          </w:tcPr>
          <w:p w:rsidR="00405F55" w:rsidRDefault="00000000">
            <w:pPr>
              <w:pStyle w:val="ac"/>
              <w:spacing w:line="240" w:lineRule="auto"/>
              <w:ind w:firstLine="0"/>
              <w:jc w:val="center"/>
              <w:rPr>
                <w:rFonts w:ascii="微软雅黑" w:eastAsia="微软雅黑" w:hAnsi="微软雅黑" w:cs="微软雅黑"/>
                <w:sz w:val="18"/>
                <w:szCs w:val="18"/>
              </w:rPr>
            </w:pPr>
            <w:r>
              <w:rPr>
                <w:rFonts w:ascii="微软雅黑" w:eastAsia="微软雅黑" w:hAnsi="微软雅黑" w:cs="微软雅黑" w:hint="eastAsia"/>
                <w:sz w:val="18"/>
                <w:szCs w:val="18"/>
              </w:rPr>
              <w:t>分析测试</w:t>
            </w:r>
          </w:p>
        </w:tc>
        <w:tc>
          <w:tcPr>
            <w:tcW w:w="5414" w:type="dxa"/>
            <w:tcBorders>
              <w:top w:val="single" w:sz="4" w:space="0" w:color="auto"/>
              <w:left w:val="single" w:sz="4" w:space="0" w:color="auto"/>
            </w:tcBorders>
            <w:shd w:val="clear" w:color="auto" w:fill="auto"/>
            <w:vAlign w:val="center"/>
          </w:tcPr>
          <w:p w:rsidR="00405F55" w:rsidRDefault="00000000">
            <w:pPr>
              <w:pStyle w:val="ac"/>
              <w:spacing w:line="223" w:lineRule="exact"/>
              <w:ind w:firstLine="0"/>
              <w:rPr>
                <w:rFonts w:ascii="微软雅黑" w:eastAsia="微软雅黑" w:hAnsi="微软雅黑" w:cs="微软雅黑"/>
                <w:sz w:val="18"/>
                <w:szCs w:val="18"/>
              </w:rPr>
            </w:pPr>
            <w:r>
              <w:rPr>
                <w:rFonts w:ascii="微软雅黑" w:eastAsia="微软雅黑" w:hAnsi="微软雅黑" w:cs="微软雅黑" w:hint="eastAsia"/>
                <w:sz w:val="15"/>
                <w:szCs w:val="15"/>
              </w:rPr>
              <w:t>50</w:t>
            </w:r>
            <w:r>
              <w:rPr>
                <w:rFonts w:ascii="微软雅黑" w:eastAsia="微软雅黑" w:hAnsi="微软雅黑" w:cs="微软雅黑" w:hint="eastAsia"/>
                <w:sz w:val="18"/>
                <w:szCs w:val="18"/>
              </w:rPr>
              <w:t>个样品时至少</w:t>
            </w:r>
            <w:r>
              <w:rPr>
                <w:rFonts w:ascii="微软雅黑" w:eastAsia="微软雅黑" w:hAnsi="微软雅黑" w:cs="微软雅黑" w:hint="eastAsia"/>
                <w:sz w:val="15"/>
                <w:szCs w:val="15"/>
              </w:rPr>
              <w:t>1</w:t>
            </w:r>
            <w:r>
              <w:rPr>
                <w:rFonts w:ascii="微软雅黑" w:eastAsia="微软雅黑" w:hAnsi="微软雅黑" w:cs="微软雅黑" w:hint="eastAsia"/>
                <w:sz w:val="18"/>
                <w:szCs w:val="18"/>
              </w:rPr>
              <w:t>个平行样、</w:t>
            </w:r>
            <w:r>
              <w:rPr>
                <w:rFonts w:ascii="微软雅黑" w:eastAsia="微软雅黑" w:hAnsi="微软雅黑" w:cs="微软雅黑" w:hint="eastAsia"/>
                <w:sz w:val="15"/>
                <w:szCs w:val="15"/>
              </w:rPr>
              <w:t>1</w:t>
            </w:r>
            <w:r>
              <w:rPr>
                <w:rFonts w:ascii="微软雅黑" w:eastAsia="微软雅黑" w:hAnsi="微软雅黑" w:cs="微软雅黑" w:hint="eastAsia"/>
                <w:sz w:val="18"/>
                <w:szCs w:val="18"/>
              </w:rPr>
              <w:t>个标样</w:t>
            </w:r>
            <w:r>
              <w:rPr>
                <w:rFonts w:ascii="微软雅黑" w:eastAsia="微软雅黑" w:hAnsi="微软雅黑" w:cs="微软雅黑" w:hint="eastAsia"/>
                <w:sz w:val="15"/>
                <w:szCs w:val="15"/>
              </w:rPr>
              <w:t>；</w:t>
            </w:r>
            <w:r>
              <w:rPr>
                <w:rFonts w:ascii="微软雅黑" w:eastAsia="微软雅黑" w:hAnsi="微软雅黑" w:cs="微软雅黑" w:hint="eastAsia"/>
                <w:sz w:val="15"/>
                <w:szCs w:val="15"/>
              </w:rPr>
              <w:br/>
            </w:r>
            <w:r>
              <w:rPr>
                <w:rFonts w:ascii="微软雅黑" w:eastAsia="微软雅黑" w:hAnsi="微软雅黑" w:cs="微软雅黑" w:hint="eastAsia"/>
                <w:sz w:val="18"/>
                <w:szCs w:val="18"/>
              </w:rPr>
              <w:t>超出正常值范围的样品应</w:t>
            </w:r>
            <w:r>
              <w:rPr>
                <w:rFonts w:ascii="微软雅黑" w:eastAsia="微软雅黑" w:hAnsi="微软雅黑" w:cs="微软雅黑" w:hint="eastAsia"/>
                <w:sz w:val="15"/>
                <w:szCs w:val="15"/>
              </w:rPr>
              <w:t>100%</w:t>
            </w:r>
            <w:r>
              <w:rPr>
                <w:rFonts w:ascii="微软雅黑" w:eastAsia="微软雅黑" w:hAnsi="微软雅黑" w:cs="微软雅黑" w:hint="eastAsia"/>
                <w:sz w:val="18"/>
                <w:szCs w:val="18"/>
              </w:rPr>
              <w:t>进行复检</w:t>
            </w:r>
            <w:r>
              <w:rPr>
                <w:rFonts w:ascii="微软雅黑" w:eastAsia="微软雅黑" w:hAnsi="微软雅黑" w:cs="微软雅黑" w:hint="eastAsia"/>
                <w:sz w:val="15"/>
                <w:szCs w:val="15"/>
              </w:rPr>
              <w:t>；</w:t>
            </w:r>
            <w:r>
              <w:rPr>
                <w:rFonts w:ascii="微软雅黑" w:eastAsia="微软雅黑" w:hAnsi="微软雅黑" w:cs="微软雅黑" w:hint="eastAsia"/>
                <w:sz w:val="15"/>
                <w:szCs w:val="15"/>
              </w:rPr>
              <w:br/>
            </w:r>
            <w:r>
              <w:rPr>
                <w:rFonts w:ascii="微软雅黑" w:eastAsia="微软雅黑" w:hAnsi="微软雅黑" w:cs="微软雅黑" w:hint="eastAsia"/>
                <w:sz w:val="18"/>
                <w:szCs w:val="18"/>
              </w:rPr>
              <w:t>实验室内部质量评价报告等</w:t>
            </w:r>
          </w:p>
        </w:tc>
        <w:tc>
          <w:tcPr>
            <w:tcW w:w="2194" w:type="dxa"/>
            <w:tcBorders>
              <w:top w:val="single" w:sz="4" w:space="0" w:color="auto"/>
              <w:left w:val="single" w:sz="4" w:space="0" w:color="auto"/>
              <w:right w:val="single" w:sz="4" w:space="0" w:color="auto"/>
            </w:tcBorders>
            <w:shd w:val="clear" w:color="auto" w:fill="auto"/>
            <w:vAlign w:val="center"/>
          </w:tcPr>
          <w:p w:rsidR="00405F55" w:rsidRDefault="00000000">
            <w:pPr>
              <w:pStyle w:val="ac"/>
              <w:spacing w:line="240" w:lineRule="auto"/>
              <w:ind w:firstLine="0"/>
              <w:rPr>
                <w:rFonts w:ascii="微软雅黑" w:eastAsia="微软雅黑" w:hAnsi="微软雅黑" w:cs="微软雅黑"/>
                <w:sz w:val="15"/>
                <w:szCs w:val="15"/>
              </w:rPr>
            </w:pPr>
            <w:r>
              <w:rPr>
                <w:rFonts w:ascii="微软雅黑" w:eastAsia="微软雅黑" w:hAnsi="微软雅黑" w:cs="微软雅黑" w:hint="eastAsia"/>
                <w:sz w:val="18"/>
                <w:szCs w:val="18"/>
              </w:rPr>
              <w:t>能力验证</w:t>
            </w:r>
            <w:r>
              <w:rPr>
                <w:rFonts w:ascii="微软雅黑" w:eastAsia="微软雅黑" w:hAnsi="微软雅黑" w:cs="微软雅黑" w:hint="eastAsia"/>
                <w:sz w:val="15"/>
                <w:szCs w:val="15"/>
              </w:rPr>
              <w:t>；</w:t>
            </w:r>
          </w:p>
          <w:p w:rsidR="00405F55" w:rsidRDefault="00000000">
            <w:pPr>
              <w:pStyle w:val="ac"/>
              <w:spacing w:line="240" w:lineRule="auto"/>
              <w:ind w:firstLine="0"/>
              <w:rPr>
                <w:rFonts w:ascii="微软雅黑" w:eastAsia="微软雅黑" w:hAnsi="微软雅黑" w:cs="微软雅黑"/>
                <w:sz w:val="18"/>
                <w:szCs w:val="18"/>
              </w:rPr>
            </w:pPr>
            <w:r>
              <w:rPr>
                <w:rFonts w:ascii="微软雅黑" w:eastAsia="微软雅黑" w:hAnsi="微软雅黑" w:cs="微软雅黑" w:hint="eastAsia"/>
                <w:sz w:val="18"/>
                <w:szCs w:val="18"/>
              </w:rPr>
              <w:t>留样抽检</w:t>
            </w:r>
            <w:r>
              <w:rPr>
                <w:rFonts w:ascii="微软雅黑" w:eastAsia="微软雅黑" w:hAnsi="微软雅黑" w:cs="微软雅黑" w:hint="eastAsia"/>
                <w:sz w:val="15"/>
                <w:szCs w:val="15"/>
              </w:rPr>
              <w:t>：</w:t>
            </w:r>
            <w:r>
              <w:rPr>
                <w:rFonts w:ascii="微软雅黑" w:eastAsia="微软雅黑" w:hAnsi="微软雅黑" w:cs="微软雅黑" w:hint="eastAsia"/>
                <w:sz w:val="18"/>
                <w:szCs w:val="18"/>
              </w:rPr>
              <w:t>省级</w:t>
            </w:r>
            <w:r>
              <w:rPr>
                <w:rFonts w:ascii="微软雅黑" w:eastAsia="微软雅黑" w:hAnsi="微软雅黑" w:cs="微软雅黑" w:hint="eastAsia"/>
                <w:sz w:val="15"/>
                <w:szCs w:val="15"/>
              </w:rPr>
              <w:t>35%</w:t>
            </w:r>
            <w:r>
              <w:rPr>
                <w:rFonts w:ascii="微软雅黑" w:eastAsia="微软雅黑" w:hAnsi="微软雅黑" w:cs="微软雅黑" w:hint="eastAsia"/>
                <w:sz w:val="18"/>
                <w:szCs w:val="18"/>
              </w:rPr>
              <w:t>。，</w:t>
            </w:r>
          </w:p>
          <w:p w:rsidR="00405F55" w:rsidRDefault="00000000">
            <w:pPr>
              <w:pStyle w:val="ac"/>
              <w:spacing w:after="40" w:line="240" w:lineRule="auto"/>
              <w:ind w:firstLine="0"/>
              <w:rPr>
                <w:rFonts w:ascii="微软雅黑" w:eastAsia="微软雅黑" w:hAnsi="微软雅黑" w:cs="微软雅黑"/>
                <w:sz w:val="18"/>
                <w:szCs w:val="18"/>
              </w:rPr>
            </w:pPr>
            <w:r>
              <w:rPr>
                <w:rFonts w:ascii="微软雅黑" w:eastAsia="微软雅黑" w:hAnsi="微软雅黑" w:cs="微软雅黑" w:hint="eastAsia"/>
                <w:sz w:val="18"/>
                <w:szCs w:val="18"/>
              </w:rPr>
              <w:t>国家</w:t>
            </w:r>
            <w:r>
              <w:rPr>
                <w:rFonts w:ascii="微软雅黑" w:eastAsia="微软雅黑" w:hAnsi="微软雅黑" w:cs="微软雅黑" w:hint="eastAsia"/>
                <w:sz w:val="15"/>
                <w:szCs w:val="15"/>
              </w:rPr>
              <w:t>3 3%</w:t>
            </w:r>
            <w:r>
              <w:rPr>
                <w:rFonts w:ascii="微软雅黑" w:eastAsia="微软雅黑" w:hAnsi="微软雅黑" w:cs="微软雅黑" w:hint="eastAsia"/>
                <w:sz w:val="18"/>
                <w:szCs w:val="18"/>
              </w:rPr>
              <w:t>。；</w:t>
            </w:r>
          </w:p>
          <w:p w:rsidR="00405F55" w:rsidRDefault="00000000">
            <w:pPr>
              <w:pStyle w:val="ac"/>
              <w:spacing w:line="240" w:lineRule="auto"/>
              <w:ind w:firstLine="0"/>
              <w:rPr>
                <w:rFonts w:ascii="微软雅黑" w:eastAsia="微软雅黑" w:hAnsi="微软雅黑" w:cs="微软雅黑"/>
                <w:sz w:val="18"/>
                <w:szCs w:val="18"/>
              </w:rPr>
            </w:pPr>
            <w:r>
              <w:rPr>
                <w:rFonts w:ascii="微软雅黑" w:eastAsia="微软雅黑" w:hAnsi="微软雅黑" w:cs="微软雅黑" w:hint="eastAsia"/>
                <w:sz w:val="18"/>
                <w:szCs w:val="18"/>
              </w:rPr>
              <w:t>飞行检查</w:t>
            </w:r>
          </w:p>
        </w:tc>
      </w:tr>
      <w:tr w:rsidR="00405F55">
        <w:trPr>
          <w:trHeight w:hRule="exact" w:val="595"/>
          <w:jc w:val="center"/>
        </w:trPr>
        <w:tc>
          <w:tcPr>
            <w:tcW w:w="1627" w:type="dxa"/>
            <w:tcBorders>
              <w:top w:val="single" w:sz="4" w:space="0" w:color="auto"/>
              <w:left w:val="single" w:sz="4" w:space="0" w:color="auto"/>
              <w:bottom w:val="single" w:sz="4" w:space="0" w:color="auto"/>
            </w:tcBorders>
            <w:shd w:val="clear" w:color="auto" w:fill="auto"/>
            <w:vAlign w:val="center"/>
          </w:tcPr>
          <w:p w:rsidR="00405F55" w:rsidRDefault="00000000">
            <w:pPr>
              <w:pStyle w:val="ac"/>
              <w:spacing w:line="240" w:lineRule="auto"/>
              <w:ind w:firstLine="0"/>
              <w:jc w:val="center"/>
              <w:rPr>
                <w:rFonts w:ascii="微软雅黑" w:eastAsia="微软雅黑" w:hAnsi="微软雅黑" w:cs="微软雅黑"/>
                <w:sz w:val="18"/>
                <w:szCs w:val="18"/>
              </w:rPr>
            </w:pPr>
            <w:r>
              <w:rPr>
                <w:rFonts w:ascii="微软雅黑" w:eastAsia="微软雅黑" w:hAnsi="微软雅黑" w:cs="微软雅黑" w:hint="eastAsia"/>
                <w:sz w:val="18"/>
                <w:szCs w:val="18"/>
              </w:rPr>
              <w:t>数据审核</w:t>
            </w:r>
          </w:p>
        </w:tc>
        <w:tc>
          <w:tcPr>
            <w:tcW w:w="5414" w:type="dxa"/>
            <w:tcBorders>
              <w:top w:val="single" w:sz="4" w:space="0" w:color="auto"/>
              <w:left w:val="single" w:sz="4" w:space="0" w:color="auto"/>
              <w:bottom w:val="single" w:sz="4" w:space="0" w:color="auto"/>
            </w:tcBorders>
            <w:shd w:val="clear" w:color="auto" w:fill="auto"/>
          </w:tcPr>
          <w:p w:rsidR="00405F55" w:rsidRDefault="00000000">
            <w:pPr>
              <w:pStyle w:val="ac"/>
              <w:spacing w:line="240" w:lineRule="auto"/>
              <w:ind w:firstLine="0"/>
              <w:rPr>
                <w:rFonts w:ascii="微软雅黑" w:eastAsia="微软雅黑" w:hAnsi="微软雅黑" w:cs="微软雅黑"/>
                <w:sz w:val="18"/>
                <w:szCs w:val="18"/>
              </w:rPr>
            </w:pPr>
            <w:r>
              <w:rPr>
                <w:rFonts w:ascii="微软雅黑" w:eastAsia="微软雅黑" w:hAnsi="微软雅黑" w:cs="微软雅黑" w:hint="eastAsia"/>
                <w:sz w:val="18"/>
                <w:szCs w:val="18"/>
              </w:rPr>
              <w:t>人员专业背景与培训；</w:t>
            </w:r>
          </w:p>
          <w:p w:rsidR="00405F55" w:rsidRDefault="00000000">
            <w:pPr>
              <w:pStyle w:val="ac"/>
              <w:spacing w:line="240" w:lineRule="auto"/>
              <w:ind w:firstLine="0"/>
              <w:rPr>
                <w:rFonts w:ascii="微软雅黑" w:eastAsia="微软雅黑" w:hAnsi="微软雅黑" w:cs="微软雅黑"/>
                <w:sz w:val="18"/>
                <w:szCs w:val="18"/>
              </w:rPr>
            </w:pPr>
            <w:r>
              <w:rPr>
                <w:rFonts w:ascii="微软雅黑" w:eastAsia="微软雅黑" w:hAnsi="微软雅黑" w:cs="微软雅黑" w:hint="eastAsia"/>
                <w:sz w:val="18"/>
                <w:szCs w:val="18"/>
              </w:rPr>
              <w:t>数据完整性、规范性、准确性</w:t>
            </w:r>
          </w:p>
        </w:tc>
        <w:tc>
          <w:tcPr>
            <w:tcW w:w="2194" w:type="dxa"/>
            <w:tcBorders>
              <w:top w:val="single" w:sz="4" w:space="0" w:color="auto"/>
              <w:left w:val="single" w:sz="4" w:space="0" w:color="auto"/>
              <w:bottom w:val="single" w:sz="4" w:space="0" w:color="auto"/>
              <w:right w:val="single" w:sz="4" w:space="0" w:color="auto"/>
            </w:tcBorders>
            <w:shd w:val="clear" w:color="auto" w:fill="auto"/>
          </w:tcPr>
          <w:p w:rsidR="00405F55" w:rsidRDefault="00000000">
            <w:pPr>
              <w:pStyle w:val="ac"/>
              <w:spacing w:line="230" w:lineRule="exact"/>
              <w:ind w:firstLine="0"/>
              <w:rPr>
                <w:rFonts w:ascii="微软雅黑" w:eastAsia="微软雅黑" w:hAnsi="微软雅黑" w:cs="微软雅黑"/>
                <w:sz w:val="18"/>
                <w:szCs w:val="18"/>
              </w:rPr>
            </w:pPr>
            <w:r>
              <w:rPr>
                <w:rFonts w:ascii="微软雅黑" w:eastAsia="微软雅黑" w:hAnsi="微软雅黑" w:cs="微软雅黑" w:hint="eastAsia"/>
                <w:sz w:val="18"/>
                <w:szCs w:val="18"/>
              </w:rPr>
              <w:t>数据校核；</w:t>
            </w:r>
            <w:r>
              <w:rPr>
                <w:rFonts w:ascii="微软雅黑" w:eastAsia="微软雅黑" w:hAnsi="微软雅黑" w:cs="微软雅黑" w:hint="eastAsia"/>
                <w:sz w:val="18"/>
                <w:szCs w:val="18"/>
              </w:rPr>
              <w:br/>
              <w:t>入库数据筛查</w:t>
            </w:r>
          </w:p>
        </w:tc>
      </w:tr>
    </w:tbl>
    <w:p w:rsidR="00405F55" w:rsidRDefault="00405F55">
      <w:pPr>
        <w:spacing w:after="519" w:line="1" w:lineRule="exact"/>
        <w:rPr>
          <w:lang w:eastAsia="zh-CN"/>
        </w:rPr>
      </w:pPr>
    </w:p>
    <w:p w:rsidR="00405F55" w:rsidRDefault="00000000">
      <w:pPr>
        <w:pStyle w:val="1"/>
        <w:spacing w:before="0" w:after="0" w:line="360" w:lineRule="auto"/>
        <w:rPr>
          <w:rFonts w:ascii="微软雅黑" w:eastAsia="微软雅黑" w:hAnsi="微软雅黑" w:cs="微软雅黑"/>
          <w:sz w:val="32"/>
          <w:szCs w:val="32"/>
          <w:lang w:eastAsia="zh-CN"/>
        </w:rPr>
      </w:pPr>
      <w:bookmarkStart w:id="158" w:name="_Toc24747"/>
      <w:r>
        <w:rPr>
          <w:rFonts w:ascii="微软雅黑" w:eastAsia="微软雅黑" w:hAnsi="微软雅黑" w:cs="微软雅黑" w:hint="eastAsia"/>
          <w:sz w:val="32"/>
          <w:szCs w:val="32"/>
          <w:lang w:eastAsia="zh-CN"/>
        </w:rPr>
        <w:t>10 土壤生物调查</w:t>
      </w:r>
      <w:bookmarkEnd w:id="158"/>
    </w:p>
    <w:p w:rsidR="00405F55" w:rsidRDefault="00000000">
      <w:pPr>
        <w:pStyle w:val="12"/>
        <w:spacing w:after="160" w:line="323" w:lineRule="exact"/>
        <w:ind w:firstLine="420"/>
        <w:rPr>
          <w:color w:val="231F20"/>
          <w:sz w:val="24"/>
          <w:szCs w:val="24"/>
        </w:rPr>
      </w:pPr>
      <w:proofErr w:type="gramStart"/>
      <w:r>
        <w:rPr>
          <w:color w:val="231F20"/>
          <w:sz w:val="24"/>
          <w:szCs w:val="24"/>
        </w:rPr>
        <w:t>仅开展</w:t>
      </w:r>
      <w:proofErr w:type="gramEnd"/>
      <w:r>
        <w:rPr>
          <w:color w:val="231F20"/>
          <w:sz w:val="24"/>
          <w:szCs w:val="24"/>
        </w:rPr>
        <w:t>国家级的土壤生物调查，具体由全国土壤普查办委托相关单位组织实施，并按照«第三次全国土壤普查土壤生物调查技术规范»执行。</w:t>
      </w:r>
      <w:bookmarkStart w:id="159" w:name="bookmark165"/>
    </w:p>
    <w:p w:rsidR="00405F55" w:rsidRDefault="00000000">
      <w:pPr>
        <w:pStyle w:val="2"/>
        <w:spacing w:before="0" w:after="0" w:line="360" w:lineRule="auto"/>
        <w:rPr>
          <w:rFonts w:ascii="宋体" w:eastAsia="宋体" w:hAnsi="宋体" w:cs="宋体"/>
          <w:sz w:val="30"/>
          <w:szCs w:val="30"/>
          <w:lang w:eastAsia="zh-CN"/>
        </w:rPr>
      </w:pPr>
      <w:bookmarkStart w:id="160" w:name="_Toc17898"/>
      <w:r>
        <w:rPr>
          <w:rFonts w:ascii="宋体" w:eastAsia="宋体" w:hAnsi="宋体" w:cs="宋体" w:hint="eastAsia"/>
          <w:sz w:val="30"/>
          <w:szCs w:val="30"/>
          <w:lang w:eastAsia="zh-CN"/>
        </w:rPr>
        <w:lastRenderedPageBreak/>
        <w:t>10.1 土壤生物调查任务</w:t>
      </w:r>
      <w:bookmarkEnd w:id="159"/>
      <w:bookmarkEnd w:id="160"/>
    </w:p>
    <w:p w:rsidR="00405F55" w:rsidRDefault="00000000">
      <w:pPr>
        <w:pStyle w:val="34"/>
        <w:keepNext/>
        <w:keepLines/>
        <w:tabs>
          <w:tab w:val="left" w:pos="734"/>
        </w:tabs>
        <w:spacing w:line="314" w:lineRule="exact"/>
        <w:rPr>
          <w:bCs w:val="0"/>
          <w:sz w:val="24"/>
          <w:szCs w:val="24"/>
          <w:lang w:val="en-US" w:bidi="en-US"/>
        </w:rPr>
      </w:pPr>
      <w:bookmarkStart w:id="161" w:name="_Toc283"/>
      <w:r>
        <w:rPr>
          <w:rFonts w:hint="eastAsia"/>
          <w:bCs w:val="0"/>
          <w:sz w:val="24"/>
          <w:szCs w:val="24"/>
          <w:lang w:val="en-US" w:bidi="en-US"/>
        </w:rPr>
        <w:t>10.1.1调查对象</w:t>
      </w:r>
      <w:bookmarkEnd w:id="161"/>
    </w:p>
    <w:p w:rsidR="00405F55" w:rsidRDefault="00000000">
      <w:pPr>
        <w:pStyle w:val="12"/>
        <w:spacing w:after="160" w:line="323" w:lineRule="exact"/>
        <w:ind w:firstLine="420"/>
        <w:rPr>
          <w:color w:val="231F20"/>
          <w:sz w:val="24"/>
          <w:szCs w:val="24"/>
        </w:rPr>
      </w:pPr>
      <w:r>
        <w:rPr>
          <w:color w:val="231F20"/>
          <w:sz w:val="24"/>
          <w:szCs w:val="24"/>
        </w:rPr>
        <w:t>(1) 土壤动物：包括土壤线虫、蚯蚓2种典型土壤动物。</w:t>
      </w:r>
    </w:p>
    <w:p w:rsidR="00405F55" w:rsidRDefault="00000000">
      <w:pPr>
        <w:pStyle w:val="12"/>
        <w:spacing w:after="160" w:line="323" w:lineRule="exact"/>
        <w:ind w:firstLine="420"/>
        <w:rPr>
          <w:color w:val="231F20"/>
          <w:sz w:val="24"/>
          <w:szCs w:val="24"/>
        </w:rPr>
      </w:pPr>
      <w:r>
        <w:rPr>
          <w:color w:val="231F20"/>
          <w:sz w:val="24"/>
          <w:szCs w:val="24"/>
        </w:rPr>
        <w:t>(2) 土壤微生物：包括主要优势菌株、土壤微生物生物量、典型土壤酶活性与土壤呼吸速率。</w:t>
      </w:r>
    </w:p>
    <w:p w:rsidR="00405F55" w:rsidRDefault="00000000">
      <w:pPr>
        <w:pStyle w:val="34"/>
        <w:keepNext/>
        <w:keepLines/>
        <w:tabs>
          <w:tab w:val="left" w:pos="734"/>
        </w:tabs>
        <w:spacing w:line="314" w:lineRule="exact"/>
        <w:rPr>
          <w:bCs w:val="0"/>
          <w:sz w:val="24"/>
          <w:szCs w:val="24"/>
          <w:lang w:val="en-US" w:bidi="en-US"/>
        </w:rPr>
      </w:pPr>
      <w:bookmarkStart w:id="162" w:name="bookmark168"/>
      <w:bookmarkStart w:id="163" w:name="_Toc2733"/>
      <w:r>
        <w:rPr>
          <w:rFonts w:hint="eastAsia"/>
          <w:bCs w:val="0"/>
          <w:sz w:val="24"/>
          <w:szCs w:val="24"/>
          <w:lang w:val="en-US" w:bidi="en-US"/>
        </w:rPr>
        <w:t>10.1.2调查内容</w:t>
      </w:r>
      <w:bookmarkEnd w:id="162"/>
      <w:bookmarkEnd w:id="163"/>
    </w:p>
    <w:p w:rsidR="00405F55" w:rsidRDefault="00000000">
      <w:pPr>
        <w:pStyle w:val="12"/>
        <w:spacing w:after="160" w:line="323" w:lineRule="exact"/>
        <w:ind w:firstLine="420"/>
        <w:rPr>
          <w:color w:val="231F20"/>
          <w:sz w:val="24"/>
          <w:szCs w:val="24"/>
        </w:rPr>
      </w:pPr>
      <w:r>
        <w:rPr>
          <w:color w:val="231F20"/>
          <w:sz w:val="24"/>
          <w:szCs w:val="24"/>
        </w:rPr>
        <w:t>(1) 土壤动物种类、数量与分布。</w:t>
      </w:r>
    </w:p>
    <w:p w:rsidR="00405F55" w:rsidRDefault="00000000">
      <w:pPr>
        <w:pStyle w:val="12"/>
        <w:spacing w:after="160" w:line="323" w:lineRule="exact"/>
        <w:ind w:firstLine="420"/>
        <w:rPr>
          <w:color w:val="231F20"/>
          <w:sz w:val="24"/>
          <w:szCs w:val="24"/>
        </w:rPr>
      </w:pPr>
      <w:r>
        <w:rPr>
          <w:color w:val="231F20"/>
          <w:sz w:val="24"/>
          <w:szCs w:val="24"/>
        </w:rPr>
        <w:t>(2) 土壤微生物优势种类与分布。</w:t>
      </w:r>
    </w:p>
    <w:p w:rsidR="00405F55" w:rsidRDefault="00000000">
      <w:pPr>
        <w:pStyle w:val="12"/>
        <w:spacing w:after="160" w:line="323" w:lineRule="exact"/>
        <w:ind w:firstLine="420"/>
        <w:rPr>
          <w:color w:val="231F20"/>
          <w:sz w:val="24"/>
          <w:szCs w:val="24"/>
        </w:rPr>
      </w:pPr>
      <w:r>
        <w:rPr>
          <w:color w:val="231F20"/>
          <w:sz w:val="24"/>
          <w:szCs w:val="24"/>
        </w:rPr>
        <w:t>(3)</w:t>
      </w:r>
      <w:r>
        <w:rPr>
          <w:rFonts w:hint="eastAsia"/>
          <w:color w:val="231F20"/>
          <w:sz w:val="24"/>
          <w:szCs w:val="24"/>
          <w:lang w:val="en-US"/>
        </w:rPr>
        <w:t xml:space="preserve"> </w:t>
      </w:r>
      <w:r>
        <w:rPr>
          <w:color w:val="231F20"/>
          <w:sz w:val="24"/>
          <w:szCs w:val="24"/>
        </w:rPr>
        <w:t>典型土壤酶活性与土壤呼吸速率。</w:t>
      </w:r>
    </w:p>
    <w:p w:rsidR="00405F55" w:rsidRDefault="00000000">
      <w:pPr>
        <w:pStyle w:val="12"/>
        <w:spacing w:after="160" w:line="323" w:lineRule="exact"/>
        <w:ind w:firstLine="420"/>
        <w:rPr>
          <w:color w:val="231F20"/>
          <w:sz w:val="24"/>
          <w:szCs w:val="24"/>
        </w:rPr>
      </w:pPr>
      <w:r>
        <w:rPr>
          <w:color w:val="231F20"/>
          <w:sz w:val="24"/>
          <w:szCs w:val="24"/>
        </w:rPr>
        <w:t>(4) 土壤生物的资源收集与保存(样本、优势菌等)。</w:t>
      </w:r>
    </w:p>
    <w:p w:rsidR="00405F55" w:rsidRDefault="00000000">
      <w:pPr>
        <w:pStyle w:val="2"/>
        <w:spacing w:before="0" w:after="0" w:line="360" w:lineRule="auto"/>
        <w:rPr>
          <w:rFonts w:ascii="宋体" w:eastAsia="宋体" w:hAnsi="宋体" w:cs="宋体"/>
          <w:sz w:val="30"/>
          <w:szCs w:val="30"/>
          <w:lang w:eastAsia="zh-CN"/>
        </w:rPr>
      </w:pPr>
      <w:bookmarkStart w:id="164" w:name="bookmark170"/>
      <w:bookmarkStart w:id="165" w:name="_Toc2231"/>
      <w:r>
        <w:rPr>
          <w:rFonts w:ascii="宋体" w:eastAsia="宋体" w:hAnsi="宋体" w:cs="宋体" w:hint="eastAsia"/>
          <w:sz w:val="30"/>
          <w:szCs w:val="30"/>
          <w:lang w:eastAsia="zh-CN"/>
        </w:rPr>
        <w:t>10.2样点布设与采样测试</w:t>
      </w:r>
      <w:bookmarkEnd w:id="164"/>
      <w:bookmarkEnd w:id="165"/>
    </w:p>
    <w:p w:rsidR="00405F55" w:rsidRDefault="00000000">
      <w:pPr>
        <w:pStyle w:val="34"/>
        <w:keepNext/>
        <w:keepLines/>
        <w:tabs>
          <w:tab w:val="left" w:pos="734"/>
        </w:tabs>
        <w:spacing w:line="314" w:lineRule="exact"/>
        <w:outlineLvl w:val="1"/>
        <w:rPr>
          <w:bCs w:val="0"/>
          <w:sz w:val="24"/>
          <w:szCs w:val="24"/>
          <w:lang w:val="en-US" w:bidi="en-US"/>
        </w:rPr>
      </w:pPr>
      <w:bookmarkStart w:id="166" w:name="_Toc6601"/>
      <w:r>
        <w:rPr>
          <w:rFonts w:hint="eastAsia"/>
          <w:bCs w:val="0"/>
          <w:sz w:val="24"/>
          <w:szCs w:val="24"/>
          <w:lang w:val="en-US" w:bidi="en-US"/>
        </w:rPr>
        <w:t>10.2.1样点布设</w:t>
      </w:r>
      <w:bookmarkEnd w:id="166"/>
    </w:p>
    <w:p w:rsidR="00405F55" w:rsidRDefault="00000000">
      <w:pPr>
        <w:pStyle w:val="12"/>
        <w:spacing w:after="160" w:line="323" w:lineRule="exact"/>
        <w:ind w:firstLine="420"/>
        <w:rPr>
          <w:color w:val="231F20"/>
          <w:sz w:val="24"/>
          <w:szCs w:val="24"/>
        </w:rPr>
      </w:pPr>
      <w:r>
        <w:rPr>
          <w:color w:val="231F20"/>
          <w:sz w:val="24"/>
          <w:szCs w:val="24"/>
        </w:rPr>
        <w:t>在已布设的剖面样点或表层样点中，选择出典型土壤的生物调查样点，并遵循生物气候分区控制，农用地主导、兼顾其他用地类型的样点布设原则。</w:t>
      </w:r>
    </w:p>
    <w:p w:rsidR="00405F55" w:rsidRDefault="00000000">
      <w:pPr>
        <w:pStyle w:val="34"/>
        <w:keepNext/>
        <w:keepLines/>
        <w:tabs>
          <w:tab w:val="left" w:pos="734"/>
        </w:tabs>
        <w:spacing w:line="314" w:lineRule="exact"/>
        <w:outlineLvl w:val="1"/>
        <w:rPr>
          <w:bCs w:val="0"/>
          <w:sz w:val="24"/>
          <w:szCs w:val="24"/>
          <w:lang w:val="en-US" w:bidi="en-US"/>
        </w:rPr>
      </w:pPr>
      <w:bookmarkStart w:id="167" w:name="bookmark173"/>
      <w:bookmarkStart w:id="168" w:name="_Toc29363"/>
      <w:r>
        <w:rPr>
          <w:rFonts w:hint="eastAsia"/>
          <w:bCs w:val="0"/>
          <w:sz w:val="24"/>
          <w:szCs w:val="24"/>
          <w:lang w:val="en-US" w:bidi="en-US"/>
        </w:rPr>
        <w:t>10.2.2外业采样工具准备</w:t>
      </w:r>
      <w:bookmarkEnd w:id="167"/>
      <w:bookmarkEnd w:id="168"/>
    </w:p>
    <w:p w:rsidR="00405F55" w:rsidRDefault="00000000">
      <w:pPr>
        <w:pStyle w:val="12"/>
        <w:spacing w:after="160" w:line="323" w:lineRule="exact"/>
        <w:ind w:firstLine="420"/>
        <w:rPr>
          <w:color w:val="231F20"/>
          <w:sz w:val="24"/>
          <w:szCs w:val="24"/>
        </w:rPr>
      </w:pPr>
      <w:r>
        <w:rPr>
          <w:color w:val="231F20"/>
          <w:sz w:val="24"/>
          <w:szCs w:val="24"/>
        </w:rPr>
        <w:t>除了常用土壤采样工具外，需准备塑料镊子、冰袋、小型冷藏箱，以及土壤生物保存溶液等。</w:t>
      </w:r>
    </w:p>
    <w:p w:rsidR="00405F55" w:rsidRDefault="00000000">
      <w:pPr>
        <w:pStyle w:val="34"/>
        <w:keepNext/>
        <w:keepLines/>
        <w:tabs>
          <w:tab w:val="left" w:pos="734"/>
        </w:tabs>
        <w:spacing w:line="314" w:lineRule="exact"/>
        <w:outlineLvl w:val="1"/>
        <w:rPr>
          <w:bCs w:val="0"/>
          <w:sz w:val="24"/>
          <w:szCs w:val="24"/>
          <w:lang w:val="en-US" w:bidi="en-US"/>
        </w:rPr>
      </w:pPr>
      <w:bookmarkStart w:id="169" w:name="bookmark175"/>
      <w:bookmarkStart w:id="170" w:name="_Toc31362"/>
      <w:r>
        <w:rPr>
          <w:rFonts w:hint="eastAsia"/>
          <w:bCs w:val="0"/>
          <w:sz w:val="24"/>
          <w:szCs w:val="24"/>
          <w:lang w:val="en-US" w:bidi="en-US"/>
        </w:rPr>
        <w:t>10.2.3调查采样与保存运输</w:t>
      </w:r>
      <w:bookmarkEnd w:id="169"/>
      <w:bookmarkEnd w:id="170"/>
    </w:p>
    <w:p w:rsidR="00405F55" w:rsidRDefault="00000000">
      <w:pPr>
        <w:pStyle w:val="12"/>
        <w:spacing w:after="160" w:line="323" w:lineRule="exact"/>
        <w:ind w:firstLine="420"/>
        <w:rPr>
          <w:color w:val="231F20"/>
          <w:sz w:val="24"/>
          <w:szCs w:val="24"/>
        </w:rPr>
      </w:pPr>
      <w:r>
        <w:rPr>
          <w:color w:val="231F20"/>
          <w:sz w:val="24"/>
          <w:szCs w:val="24"/>
        </w:rPr>
        <w:t>外业采集的土壤蚯蚓，保存在土壤生物保存溶液中；采集的土壤鲜样(测定线虫与土壤微生物)混合后装袋。土壤生物样品外业采集后，装入低温保存箱，尽快低温运输至相关土壤生物测试实验室。</w:t>
      </w:r>
    </w:p>
    <w:p w:rsidR="00405F55" w:rsidRDefault="00000000">
      <w:pPr>
        <w:pStyle w:val="34"/>
        <w:keepNext/>
        <w:keepLines/>
        <w:tabs>
          <w:tab w:val="left" w:pos="734"/>
        </w:tabs>
        <w:spacing w:line="314" w:lineRule="exact"/>
        <w:outlineLvl w:val="1"/>
        <w:rPr>
          <w:bCs w:val="0"/>
          <w:sz w:val="24"/>
          <w:szCs w:val="24"/>
          <w:lang w:val="en-US" w:bidi="en-US"/>
        </w:rPr>
      </w:pPr>
      <w:bookmarkStart w:id="171" w:name="bookmark177"/>
      <w:bookmarkStart w:id="172" w:name="_Toc18080"/>
      <w:r>
        <w:rPr>
          <w:rFonts w:hint="eastAsia"/>
          <w:bCs w:val="0"/>
          <w:sz w:val="24"/>
          <w:szCs w:val="24"/>
          <w:lang w:val="en-US" w:bidi="en-US"/>
        </w:rPr>
        <w:t>10.2.4测试指标与方法</w:t>
      </w:r>
      <w:bookmarkEnd w:id="171"/>
      <w:bookmarkEnd w:id="172"/>
    </w:p>
    <w:p w:rsidR="00405F55" w:rsidRDefault="00000000">
      <w:pPr>
        <w:pStyle w:val="12"/>
        <w:spacing w:after="160" w:line="323" w:lineRule="exact"/>
        <w:ind w:firstLine="420"/>
        <w:rPr>
          <w:color w:val="231F20"/>
          <w:sz w:val="24"/>
          <w:szCs w:val="24"/>
        </w:rPr>
      </w:pPr>
      <w:r>
        <w:rPr>
          <w:color w:val="231F20"/>
          <w:sz w:val="24"/>
          <w:szCs w:val="24"/>
        </w:rPr>
        <w:t>(1) 土壤动物：土壤线虫、蚯蚓的形态鉴定与分子生物学。</w:t>
      </w:r>
    </w:p>
    <w:p w:rsidR="00405F55" w:rsidRDefault="00000000">
      <w:pPr>
        <w:pStyle w:val="12"/>
        <w:spacing w:after="160" w:line="323" w:lineRule="exact"/>
        <w:ind w:firstLine="420"/>
        <w:rPr>
          <w:color w:val="231F20"/>
          <w:sz w:val="24"/>
          <w:szCs w:val="24"/>
        </w:rPr>
      </w:pPr>
      <w:r>
        <w:rPr>
          <w:color w:val="231F20"/>
          <w:sz w:val="24"/>
          <w:szCs w:val="24"/>
        </w:rPr>
        <w:t>(2) 土壤微生物:土壤微生物生物量(碳、氮)、土壤微生物多样性(土壤优势菌株、细菌与真菌的丰度与多样性、功能微生物的宏基因组)、土壤生物活性(酶活性、诱导呼吸速率)。</w:t>
      </w:r>
    </w:p>
    <w:p w:rsidR="00405F55" w:rsidRDefault="00000000">
      <w:pPr>
        <w:pStyle w:val="12"/>
        <w:spacing w:after="160" w:line="323" w:lineRule="exact"/>
        <w:ind w:firstLine="420"/>
        <w:rPr>
          <w:color w:val="231F20"/>
          <w:sz w:val="24"/>
          <w:szCs w:val="24"/>
        </w:rPr>
      </w:pPr>
      <w:r>
        <w:rPr>
          <w:color w:val="231F20"/>
          <w:sz w:val="24"/>
          <w:szCs w:val="24"/>
        </w:rPr>
        <w:t>相关生物调查与测试信息及时填报土壤普查工作平台系统。</w:t>
      </w:r>
    </w:p>
    <w:p w:rsidR="00405F55" w:rsidRDefault="00000000">
      <w:pPr>
        <w:pStyle w:val="2"/>
        <w:spacing w:before="0" w:after="0" w:line="360" w:lineRule="auto"/>
        <w:rPr>
          <w:rFonts w:ascii="宋体" w:eastAsia="宋体" w:hAnsi="宋体" w:cs="宋体"/>
          <w:sz w:val="30"/>
          <w:szCs w:val="30"/>
          <w:lang w:eastAsia="zh-CN"/>
        </w:rPr>
      </w:pPr>
      <w:bookmarkStart w:id="173" w:name="bookmark179"/>
      <w:bookmarkStart w:id="174" w:name="_Toc9754"/>
      <w:r>
        <w:rPr>
          <w:rFonts w:ascii="宋体" w:eastAsia="宋体" w:hAnsi="宋体" w:cs="宋体" w:hint="eastAsia"/>
          <w:sz w:val="30"/>
          <w:szCs w:val="30"/>
          <w:lang w:eastAsia="zh-CN"/>
        </w:rPr>
        <w:t>10.3生物调查的成果汇总</w:t>
      </w:r>
      <w:bookmarkEnd w:id="173"/>
      <w:bookmarkEnd w:id="174"/>
    </w:p>
    <w:p w:rsidR="00405F55" w:rsidRDefault="00000000">
      <w:pPr>
        <w:pStyle w:val="34"/>
        <w:keepNext/>
        <w:keepLines/>
        <w:tabs>
          <w:tab w:val="left" w:pos="734"/>
        </w:tabs>
        <w:spacing w:line="314" w:lineRule="exact"/>
        <w:outlineLvl w:val="1"/>
        <w:rPr>
          <w:bCs w:val="0"/>
          <w:sz w:val="24"/>
          <w:szCs w:val="24"/>
          <w:lang w:val="en-US" w:bidi="en-US"/>
        </w:rPr>
      </w:pPr>
      <w:bookmarkStart w:id="175" w:name="_Toc12506"/>
      <w:r>
        <w:rPr>
          <w:rFonts w:hint="eastAsia"/>
          <w:bCs w:val="0"/>
          <w:sz w:val="24"/>
          <w:szCs w:val="24"/>
          <w:lang w:val="en-US" w:bidi="en-US"/>
        </w:rPr>
        <w:t>10.3.1  建立土壤生物调查数据库</w:t>
      </w:r>
      <w:bookmarkEnd w:id="175"/>
    </w:p>
    <w:p w:rsidR="00405F55" w:rsidRDefault="00000000">
      <w:pPr>
        <w:pStyle w:val="12"/>
        <w:spacing w:after="160" w:line="323" w:lineRule="exact"/>
        <w:ind w:firstLine="420"/>
        <w:rPr>
          <w:color w:val="231F20"/>
          <w:sz w:val="24"/>
          <w:szCs w:val="24"/>
        </w:rPr>
      </w:pPr>
      <w:r>
        <w:rPr>
          <w:color w:val="231F20"/>
          <w:sz w:val="24"/>
          <w:szCs w:val="24"/>
        </w:rPr>
        <w:t>结合传统分类学方法与分子生物学手段，基于我国典型土壤的动物、微生物与酶活性检测数据及其相关环境参数等，建立全国土壤生物资源数据库。</w:t>
      </w:r>
    </w:p>
    <w:p w:rsidR="00405F55" w:rsidRDefault="00000000">
      <w:pPr>
        <w:pStyle w:val="34"/>
        <w:keepNext/>
        <w:keepLines/>
        <w:tabs>
          <w:tab w:val="left" w:pos="734"/>
        </w:tabs>
        <w:spacing w:line="314" w:lineRule="exact"/>
        <w:outlineLvl w:val="1"/>
        <w:rPr>
          <w:bCs w:val="0"/>
          <w:sz w:val="24"/>
          <w:szCs w:val="24"/>
          <w:lang w:val="en-US" w:bidi="en-US"/>
        </w:rPr>
      </w:pPr>
      <w:bookmarkStart w:id="176" w:name="bookmark182"/>
      <w:bookmarkStart w:id="177" w:name="_Toc30460"/>
      <w:proofErr w:type="gramStart"/>
      <w:r>
        <w:rPr>
          <w:rFonts w:hint="eastAsia"/>
          <w:bCs w:val="0"/>
          <w:sz w:val="24"/>
          <w:szCs w:val="24"/>
          <w:lang w:val="en-US" w:bidi="en-US"/>
        </w:rPr>
        <w:t xml:space="preserve">10.3.2  </w:t>
      </w:r>
      <w:proofErr w:type="gramEnd"/>
      <w:r>
        <w:rPr>
          <w:rFonts w:hint="eastAsia"/>
          <w:bCs w:val="0"/>
          <w:sz w:val="24"/>
          <w:szCs w:val="24"/>
          <w:lang w:val="en-US" w:bidi="en-US"/>
        </w:rPr>
        <w:t>撰写土壤生物调查报告</w:t>
      </w:r>
      <w:bookmarkEnd w:id="176"/>
      <w:bookmarkEnd w:id="177"/>
    </w:p>
    <w:p w:rsidR="00405F55" w:rsidRDefault="00000000">
      <w:pPr>
        <w:pStyle w:val="12"/>
        <w:spacing w:after="160" w:line="323" w:lineRule="exact"/>
        <w:ind w:firstLine="420"/>
        <w:rPr>
          <w:color w:val="231F20"/>
          <w:sz w:val="24"/>
          <w:szCs w:val="24"/>
        </w:rPr>
      </w:pPr>
      <w:r>
        <w:rPr>
          <w:color w:val="231F20"/>
          <w:sz w:val="24"/>
          <w:szCs w:val="24"/>
        </w:rPr>
        <w:t>整理分析土壤生物调查的数据，撰写和提交土壤生物调查总结报告、土壤质量和土壤健康的生物学评价报告。</w:t>
      </w:r>
    </w:p>
    <w:p w:rsidR="00405F55" w:rsidRDefault="00000000">
      <w:pPr>
        <w:pStyle w:val="1"/>
        <w:spacing w:before="0" w:after="0" w:line="360" w:lineRule="auto"/>
        <w:rPr>
          <w:rFonts w:ascii="微软雅黑" w:eastAsia="微软雅黑" w:hAnsi="微软雅黑" w:cs="微软雅黑"/>
          <w:sz w:val="32"/>
          <w:szCs w:val="32"/>
          <w:lang w:eastAsia="zh-CN"/>
        </w:rPr>
      </w:pPr>
      <w:bookmarkStart w:id="178" w:name="_Toc2980"/>
      <w:r>
        <w:rPr>
          <w:rFonts w:ascii="微软雅黑" w:eastAsia="微软雅黑" w:hAnsi="微软雅黑" w:cs="微软雅黑" w:hint="eastAsia"/>
          <w:sz w:val="32"/>
          <w:szCs w:val="32"/>
          <w:lang w:eastAsia="zh-CN"/>
        </w:rPr>
        <w:lastRenderedPageBreak/>
        <w:t>11 成果汇总</w:t>
      </w:r>
      <w:bookmarkEnd w:id="178"/>
    </w:p>
    <w:p w:rsidR="00405F55" w:rsidRDefault="00000000">
      <w:pPr>
        <w:pStyle w:val="12"/>
        <w:spacing w:after="160" w:line="323" w:lineRule="exact"/>
        <w:ind w:firstLine="420"/>
        <w:rPr>
          <w:color w:val="231F20"/>
          <w:sz w:val="24"/>
          <w:szCs w:val="24"/>
        </w:rPr>
      </w:pPr>
      <w:proofErr w:type="gramStart"/>
      <w:r>
        <w:rPr>
          <w:color w:val="231F20"/>
          <w:sz w:val="24"/>
          <w:szCs w:val="24"/>
        </w:rPr>
        <w:t>省级与</w:t>
      </w:r>
      <w:proofErr w:type="gramEnd"/>
      <w:r>
        <w:rPr>
          <w:color w:val="231F20"/>
          <w:sz w:val="24"/>
          <w:szCs w:val="24"/>
        </w:rPr>
        <w:t>全国土壤普查办组织开展分级成果汇总，形成省级和国家级土壤样品库，以及县级、省级和国家级数据库、图件、文字报告等土壤普查成果；地市级参照县级、省级成果清单，形成地市级土壤普查成果。</w:t>
      </w:r>
    </w:p>
    <w:p w:rsidR="00405F55" w:rsidRDefault="00000000">
      <w:pPr>
        <w:pStyle w:val="2"/>
        <w:spacing w:before="0" w:after="0" w:line="360" w:lineRule="auto"/>
        <w:rPr>
          <w:rFonts w:ascii="宋体" w:eastAsia="宋体" w:hAnsi="宋体" w:cs="宋体"/>
          <w:sz w:val="30"/>
          <w:szCs w:val="30"/>
          <w:lang w:eastAsia="zh-CN"/>
        </w:rPr>
      </w:pPr>
      <w:bookmarkStart w:id="179" w:name="_Toc2547"/>
      <w:r>
        <w:rPr>
          <w:rFonts w:ascii="宋体" w:eastAsia="宋体" w:hAnsi="宋体" w:cs="宋体" w:hint="eastAsia"/>
          <w:sz w:val="30"/>
          <w:szCs w:val="30"/>
          <w:lang w:eastAsia="zh-CN"/>
        </w:rPr>
        <w:t>11.1样品库建设</w:t>
      </w:r>
      <w:bookmarkEnd w:id="179"/>
    </w:p>
    <w:p w:rsidR="00405F55" w:rsidRDefault="00000000">
      <w:pPr>
        <w:pStyle w:val="12"/>
        <w:spacing w:after="160" w:line="323" w:lineRule="exact"/>
        <w:ind w:firstLine="420"/>
        <w:rPr>
          <w:color w:val="231F20"/>
          <w:sz w:val="24"/>
          <w:szCs w:val="24"/>
          <w:lang w:val="en-US"/>
        </w:rPr>
      </w:pPr>
      <w:r>
        <w:rPr>
          <w:color w:val="231F20"/>
          <w:sz w:val="24"/>
          <w:szCs w:val="24"/>
        </w:rPr>
        <w:t>按照“调查采样</w:t>
      </w:r>
      <w:r>
        <w:rPr>
          <w:color w:val="231F20"/>
          <w:sz w:val="24"/>
          <w:szCs w:val="24"/>
          <w:lang w:val="en-US"/>
        </w:rPr>
        <w:t>App”</w:t>
      </w:r>
      <w:r>
        <w:rPr>
          <w:color w:val="231F20"/>
          <w:sz w:val="24"/>
          <w:szCs w:val="24"/>
        </w:rPr>
        <w:t>中样点的采样任务要求，部分样点(尤其是采集剖面土壤标本)，可能需同步采集两份甚至多份用于</w:t>
      </w:r>
      <w:proofErr w:type="gramStart"/>
      <w:r>
        <w:rPr>
          <w:color w:val="231F20"/>
          <w:sz w:val="24"/>
          <w:szCs w:val="24"/>
        </w:rPr>
        <w:t>省级与</w:t>
      </w:r>
      <w:proofErr w:type="gramEnd"/>
      <w:r>
        <w:rPr>
          <w:color w:val="231F20"/>
          <w:sz w:val="24"/>
          <w:szCs w:val="24"/>
        </w:rPr>
        <w:t>国家级土壤样品库建设，并给出送样、</w:t>
      </w:r>
      <w:proofErr w:type="gramStart"/>
      <w:r>
        <w:rPr>
          <w:color w:val="231F20"/>
          <w:sz w:val="24"/>
          <w:szCs w:val="24"/>
        </w:rPr>
        <w:t>寄样的</w:t>
      </w:r>
      <w:proofErr w:type="gramEnd"/>
      <w:r>
        <w:rPr>
          <w:color w:val="231F20"/>
          <w:sz w:val="24"/>
          <w:szCs w:val="24"/>
        </w:rPr>
        <w:t>相应规定与要求。详见«第三次全国土壤普查外业调查与采样技术规范»</w:t>
      </w:r>
      <w:r>
        <w:rPr>
          <w:rFonts w:hint="eastAsia"/>
          <w:color w:val="231F20"/>
          <w:sz w:val="24"/>
          <w:szCs w:val="24"/>
          <w:lang w:val="en-US"/>
        </w:rPr>
        <w:t>。</w:t>
      </w:r>
    </w:p>
    <w:p w:rsidR="00405F55" w:rsidRDefault="00000000">
      <w:pPr>
        <w:pStyle w:val="34"/>
        <w:keepNext/>
        <w:keepLines/>
        <w:tabs>
          <w:tab w:val="left" w:pos="734"/>
        </w:tabs>
        <w:spacing w:line="314" w:lineRule="exact"/>
        <w:outlineLvl w:val="1"/>
        <w:rPr>
          <w:bCs w:val="0"/>
          <w:sz w:val="24"/>
          <w:szCs w:val="24"/>
          <w:lang w:val="en-US" w:bidi="en-US"/>
        </w:rPr>
      </w:pPr>
      <w:bookmarkStart w:id="180" w:name="bookmark186"/>
      <w:bookmarkStart w:id="181" w:name="_Toc17889"/>
      <w:r>
        <w:rPr>
          <w:rFonts w:hint="eastAsia"/>
          <w:bCs w:val="0"/>
          <w:sz w:val="24"/>
          <w:szCs w:val="24"/>
          <w:lang w:val="en-US" w:bidi="en-US"/>
        </w:rPr>
        <w:t>11.1.1  国家级土壤样品库</w:t>
      </w:r>
      <w:bookmarkEnd w:id="180"/>
      <w:bookmarkEnd w:id="181"/>
    </w:p>
    <w:p w:rsidR="00405F55" w:rsidRDefault="00000000">
      <w:pPr>
        <w:pStyle w:val="12"/>
        <w:spacing w:after="160" w:line="323" w:lineRule="exact"/>
        <w:ind w:firstLine="420"/>
        <w:rPr>
          <w:color w:val="231F20"/>
          <w:sz w:val="24"/>
          <w:szCs w:val="24"/>
        </w:rPr>
      </w:pPr>
      <w:r>
        <w:rPr>
          <w:color w:val="231F20"/>
          <w:sz w:val="24"/>
          <w:szCs w:val="24"/>
        </w:rPr>
        <w:t>全国土壤普查办依托国家级科研机构，负责建设国家级土壤样品库。</w:t>
      </w:r>
    </w:p>
    <w:p w:rsidR="00405F55" w:rsidRDefault="00000000">
      <w:pPr>
        <w:pStyle w:val="5"/>
        <w:spacing w:before="0" w:after="0" w:line="360" w:lineRule="auto"/>
        <w:rPr>
          <w:rFonts w:ascii="宋体" w:eastAsia="宋体" w:hAnsi="宋体" w:cs="宋体"/>
          <w:sz w:val="24"/>
          <w:lang w:eastAsia="zh-CN"/>
        </w:rPr>
      </w:pPr>
      <w:bookmarkStart w:id="182" w:name="_Toc27254"/>
      <w:r>
        <w:rPr>
          <w:rFonts w:ascii="宋体" w:eastAsia="宋体" w:hAnsi="宋体" w:cs="宋体" w:hint="eastAsia"/>
          <w:sz w:val="24"/>
          <w:lang w:eastAsia="zh-CN"/>
        </w:rPr>
        <w:t>11.1.1.1</w:t>
      </w:r>
      <w:proofErr w:type="gramStart"/>
      <w:r>
        <w:rPr>
          <w:rFonts w:ascii="宋体" w:eastAsia="宋体" w:hAnsi="宋体" w:cs="宋体" w:hint="eastAsia"/>
          <w:sz w:val="24"/>
          <w:lang w:eastAsia="zh-CN"/>
        </w:rPr>
        <w:t xml:space="preserve">  </w:t>
      </w:r>
      <w:proofErr w:type="gramEnd"/>
      <w:r>
        <w:rPr>
          <w:rFonts w:ascii="宋体" w:eastAsia="宋体" w:hAnsi="宋体" w:cs="宋体" w:hint="eastAsia"/>
          <w:sz w:val="24"/>
          <w:lang w:eastAsia="zh-CN"/>
        </w:rPr>
        <w:t>样品库的建设内容</w:t>
      </w:r>
      <w:bookmarkEnd w:id="182"/>
    </w:p>
    <w:p w:rsidR="00405F55" w:rsidRDefault="00000000">
      <w:pPr>
        <w:pStyle w:val="12"/>
        <w:spacing w:after="160" w:line="323" w:lineRule="exact"/>
        <w:ind w:firstLine="420"/>
        <w:rPr>
          <w:color w:val="231F20"/>
          <w:sz w:val="24"/>
          <w:szCs w:val="24"/>
        </w:rPr>
      </w:pPr>
      <w:r>
        <w:rPr>
          <w:color w:val="231F20"/>
          <w:sz w:val="24"/>
          <w:szCs w:val="24"/>
        </w:rPr>
        <w:t>主要存放全国638个典型土属的整段剖面标本、全国约6万个剖面土壤的分段纸盒标本与分层原状样品。</w:t>
      </w:r>
    </w:p>
    <w:p w:rsidR="00405F55" w:rsidRDefault="00000000">
      <w:pPr>
        <w:pStyle w:val="12"/>
        <w:spacing w:after="160" w:line="323" w:lineRule="exact"/>
        <w:ind w:firstLine="420"/>
        <w:rPr>
          <w:color w:val="231F20"/>
          <w:sz w:val="24"/>
          <w:szCs w:val="24"/>
        </w:rPr>
      </w:pPr>
      <w:r>
        <w:rPr>
          <w:color w:val="231F20"/>
          <w:sz w:val="24"/>
          <w:szCs w:val="24"/>
        </w:rPr>
        <w:t>每个样品</w:t>
      </w:r>
      <w:proofErr w:type="gramStart"/>
      <w:r>
        <w:rPr>
          <w:color w:val="231F20"/>
          <w:sz w:val="24"/>
          <w:szCs w:val="24"/>
        </w:rPr>
        <w:t>需包括</w:t>
      </w:r>
      <w:proofErr w:type="gramEnd"/>
      <w:r>
        <w:rPr>
          <w:color w:val="231F20"/>
          <w:sz w:val="24"/>
          <w:szCs w:val="24"/>
        </w:rPr>
        <w:t>编号（如二维码）及样点信息（生境信息、样点照片、景观照片等）基本信息。</w:t>
      </w:r>
    </w:p>
    <w:p w:rsidR="00405F55" w:rsidRDefault="00000000">
      <w:pPr>
        <w:pStyle w:val="12"/>
        <w:spacing w:after="160" w:line="323" w:lineRule="exact"/>
        <w:ind w:firstLine="420"/>
        <w:rPr>
          <w:color w:val="231F20"/>
          <w:sz w:val="24"/>
          <w:szCs w:val="24"/>
        </w:rPr>
      </w:pPr>
      <w:r>
        <w:rPr>
          <w:color w:val="231F20"/>
          <w:sz w:val="24"/>
          <w:szCs w:val="24"/>
        </w:rPr>
        <w:t>剖面分段纸盒标本晾干；剖面整段标本进行晾干土柱、钻孔处理、浸胶处理、粘贴麻布、标本修饰、喷胶定型等标本制作，均保存于专门的标本柜。发生层样品存放在磨口玻璃瓶中，标注出样品目数，存放在样品架中。</w:t>
      </w:r>
    </w:p>
    <w:p w:rsidR="00405F55" w:rsidRDefault="00000000">
      <w:pPr>
        <w:pStyle w:val="5"/>
        <w:spacing w:before="0" w:after="0" w:line="360" w:lineRule="auto"/>
        <w:rPr>
          <w:rFonts w:ascii="宋体" w:eastAsia="宋体" w:hAnsi="宋体" w:cs="宋体"/>
          <w:sz w:val="24"/>
          <w:lang w:eastAsia="zh-CN"/>
        </w:rPr>
      </w:pPr>
      <w:bookmarkStart w:id="183" w:name="_Toc15559"/>
      <w:r>
        <w:rPr>
          <w:rFonts w:ascii="宋体" w:eastAsia="宋体" w:hAnsi="宋体" w:cs="宋体" w:hint="eastAsia"/>
          <w:sz w:val="24"/>
          <w:lang w:eastAsia="zh-CN"/>
        </w:rPr>
        <w:t>11.1.1.2</w:t>
      </w:r>
      <w:proofErr w:type="gramStart"/>
      <w:r>
        <w:rPr>
          <w:rFonts w:ascii="宋体" w:eastAsia="宋体" w:hAnsi="宋体" w:cs="宋体" w:hint="eastAsia"/>
          <w:sz w:val="24"/>
          <w:lang w:eastAsia="zh-CN"/>
        </w:rPr>
        <w:t xml:space="preserve">  </w:t>
      </w:r>
      <w:proofErr w:type="gramEnd"/>
      <w:r>
        <w:rPr>
          <w:rFonts w:ascii="宋体" w:eastAsia="宋体" w:hAnsi="宋体" w:cs="宋体" w:hint="eastAsia"/>
          <w:sz w:val="24"/>
          <w:lang w:eastAsia="zh-CN"/>
        </w:rPr>
        <w:t>样品库的存放要求</w:t>
      </w:r>
      <w:bookmarkEnd w:id="183"/>
    </w:p>
    <w:p w:rsidR="00405F55" w:rsidRDefault="00000000">
      <w:pPr>
        <w:pStyle w:val="12"/>
        <w:spacing w:after="160" w:line="323" w:lineRule="exact"/>
        <w:ind w:firstLine="420"/>
        <w:rPr>
          <w:color w:val="231F20"/>
          <w:sz w:val="24"/>
          <w:szCs w:val="24"/>
        </w:rPr>
      </w:pPr>
      <w:r>
        <w:rPr>
          <w:color w:val="231F20"/>
          <w:sz w:val="24"/>
          <w:szCs w:val="24"/>
        </w:rPr>
        <w:t xml:space="preserve">土壤样品库库房地面（楼板）承重力一般在800 </w:t>
      </w:r>
      <w:r>
        <w:rPr>
          <w:color w:val="231F20"/>
          <w:sz w:val="24"/>
          <w:szCs w:val="24"/>
          <w:lang w:val="en-US"/>
        </w:rPr>
        <w:t>k&amp;/m2</w:t>
      </w:r>
      <w:r>
        <w:rPr>
          <w:color w:val="231F20"/>
          <w:sz w:val="24"/>
          <w:szCs w:val="24"/>
        </w:rPr>
        <w:t>以上（多存放于一楼），环境要保持干燥、通风、无阳光直射、无污染，具备防霉变、防鼠害、防火灾等设施。要求配备智能电动样品架，便于展示和管理。土壤样品分别存放于不同柜体，且根据预估土壤样品数量设置弹性存储空间，便于土壤样品的长期稳定存放。</w:t>
      </w:r>
    </w:p>
    <w:p w:rsidR="00405F55" w:rsidRDefault="00000000">
      <w:pPr>
        <w:pStyle w:val="34"/>
        <w:keepNext/>
        <w:keepLines/>
        <w:tabs>
          <w:tab w:val="left" w:pos="734"/>
        </w:tabs>
        <w:spacing w:line="314" w:lineRule="exact"/>
        <w:outlineLvl w:val="1"/>
        <w:rPr>
          <w:bCs w:val="0"/>
          <w:sz w:val="24"/>
          <w:szCs w:val="24"/>
          <w:lang w:val="en-US" w:bidi="en-US"/>
        </w:rPr>
      </w:pPr>
      <w:bookmarkStart w:id="184" w:name="bookmark188"/>
      <w:bookmarkStart w:id="185" w:name="_Toc27162"/>
      <w:r>
        <w:rPr>
          <w:rFonts w:hint="eastAsia"/>
          <w:bCs w:val="0"/>
          <w:sz w:val="24"/>
          <w:szCs w:val="24"/>
          <w:lang w:val="en-US" w:bidi="en-US"/>
        </w:rPr>
        <w:t>11.1.2  省级土壤样品库</w:t>
      </w:r>
      <w:bookmarkEnd w:id="184"/>
      <w:bookmarkEnd w:id="185"/>
    </w:p>
    <w:p w:rsidR="00405F55" w:rsidRDefault="00000000">
      <w:pPr>
        <w:pStyle w:val="12"/>
        <w:spacing w:after="160" w:line="323" w:lineRule="exact"/>
        <w:ind w:firstLine="420"/>
        <w:rPr>
          <w:color w:val="231F20"/>
          <w:sz w:val="24"/>
          <w:szCs w:val="24"/>
        </w:rPr>
      </w:pPr>
      <w:r>
        <w:rPr>
          <w:color w:val="231F20"/>
          <w:sz w:val="24"/>
          <w:szCs w:val="24"/>
        </w:rPr>
        <w:t>各省级土壤普查办可参照国家级土壤样品库的建设方案，负责建设本区域内的土壤样品库或土壤样品储存库。</w:t>
      </w:r>
    </w:p>
    <w:p w:rsidR="00405F55" w:rsidRDefault="00000000">
      <w:pPr>
        <w:pStyle w:val="2"/>
        <w:spacing w:before="0" w:after="0" w:line="360" w:lineRule="auto"/>
        <w:rPr>
          <w:rFonts w:ascii="宋体" w:eastAsia="宋体" w:hAnsi="宋体" w:cs="宋体"/>
          <w:sz w:val="30"/>
          <w:szCs w:val="30"/>
          <w:lang w:eastAsia="zh-CN"/>
        </w:rPr>
      </w:pPr>
      <w:bookmarkStart w:id="186" w:name="_Toc2049"/>
      <w:r>
        <w:rPr>
          <w:rFonts w:ascii="宋体" w:eastAsia="宋体" w:hAnsi="宋体" w:cs="宋体" w:hint="eastAsia"/>
          <w:sz w:val="30"/>
          <w:szCs w:val="30"/>
          <w:lang w:eastAsia="zh-CN"/>
        </w:rPr>
        <w:t>11. 2数据汇交与数据库构建</w:t>
      </w:r>
      <w:bookmarkEnd w:id="186"/>
    </w:p>
    <w:p w:rsidR="00405F55" w:rsidRDefault="00000000">
      <w:pPr>
        <w:pStyle w:val="12"/>
        <w:spacing w:after="160" w:line="323" w:lineRule="exact"/>
        <w:ind w:firstLine="420"/>
        <w:rPr>
          <w:color w:val="231F20"/>
          <w:sz w:val="24"/>
          <w:szCs w:val="24"/>
        </w:rPr>
      </w:pPr>
      <w:r>
        <w:rPr>
          <w:color w:val="231F20"/>
          <w:sz w:val="24"/>
          <w:szCs w:val="24"/>
        </w:rPr>
        <w:t>全国建立统一的数据库标准（详见«第三次全国土壤普查数据库规范</w:t>
      </w:r>
      <w:proofErr w:type="gramStart"/>
      <w:r>
        <w:rPr>
          <w:color w:val="231F20"/>
          <w:sz w:val="24"/>
          <w:szCs w:val="24"/>
        </w:rPr>
        <w:t>》</w:t>
      </w:r>
      <w:proofErr w:type="gramEnd"/>
      <w:r>
        <w:rPr>
          <w:color w:val="231F20"/>
          <w:sz w:val="24"/>
          <w:szCs w:val="24"/>
        </w:rPr>
        <w:t>九土壤普查过程中，分级开展数据汇交与数据库建设；省级先进行数据审核与土壤普查数据库构建，然后提交至国家土壤普查数据库。</w:t>
      </w:r>
    </w:p>
    <w:p w:rsidR="00405F55" w:rsidRDefault="00000000">
      <w:pPr>
        <w:pStyle w:val="34"/>
        <w:keepNext/>
        <w:keepLines/>
        <w:tabs>
          <w:tab w:val="left" w:pos="734"/>
        </w:tabs>
        <w:spacing w:line="314" w:lineRule="exact"/>
        <w:outlineLvl w:val="1"/>
        <w:rPr>
          <w:bCs w:val="0"/>
          <w:sz w:val="24"/>
          <w:szCs w:val="24"/>
          <w:lang w:val="en-US" w:bidi="en-US"/>
        </w:rPr>
      </w:pPr>
      <w:bookmarkStart w:id="187" w:name="bookmark192"/>
      <w:bookmarkStart w:id="188" w:name="_Toc17559"/>
      <w:r>
        <w:rPr>
          <w:rFonts w:hint="eastAsia"/>
          <w:bCs w:val="0"/>
          <w:sz w:val="24"/>
          <w:szCs w:val="24"/>
          <w:lang w:val="en-US" w:bidi="en-US"/>
        </w:rPr>
        <w:t>11.2.1  数据填报与传输</w:t>
      </w:r>
      <w:bookmarkEnd w:id="187"/>
      <w:bookmarkEnd w:id="188"/>
    </w:p>
    <w:p w:rsidR="00405F55" w:rsidRDefault="00000000">
      <w:pPr>
        <w:pStyle w:val="12"/>
        <w:spacing w:after="160" w:line="323" w:lineRule="exact"/>
        <w:ind w:firstLine="420"/>
        <w:rPr>
          <w:color w:val="231F20"/>
          <w:sz w:val="24"/>
          <w:szCs w:val="24"/>
        </w:rPr>
      </w:pPr>
      <w:r>
        <w:rPr>
          <w:color w:val="231F20"/>
          <w:sz w:val="24"/>
          <w:szCs w:val="24"/>
        </w:rPr>
        <w:t>土壤普查实行全过程</w:t>
      </w:r>
      <w:proofErr w:type="gramStart"/>
      <w:r>
        <w:rPr>
          <w:color w:val="231F20"/>
          <w:sz w:val="24"/>
          <w:szCs w:val="24"/>
        </w:rPr>
        <w:t>全数据</w:t>
      </w:r>
      <w:proofErr w:type="gramEnd"/>
      <w:r>
        <w:rPr>
          <w:color w:val="231F20"/>
          <w:sz w:val="24"/>
          <w:szCs w:val="24"/>
        </w:rPr>
        <w:t>填报，按照全国土壤普查各专项规范要求，外业调查、内业测试、样品流转、数据审核等过程的数据、单位、人员等信息，及时填报全国土壤普查工作平台的相关信息，传输存储至省级数据库与国家级数据库。</w:t>
      </w:r>
    </w:p>
    <w:p w:rsidR="00405F55" w:rsidRDefault="00000000">
      <w:pPr>
        <w:pStyle w:val="12"/>
        <w:spacing w:after="160" w:line="323" w:lineRule="exact"/>
        <w:ind w:firstLine="420"/>
        <w:rPr>
          <w:color w:val="231F20"/>
          <w:sz w:val="24"/>
          <w:szCs w:val="24"/>
        </w:rPr>
      </w:pPr>
      <w:r>
        <w:rPr>
          <w:color w:val="231F20"/>
          <w:sz w:val="24"/>
          <w:szCs w:val="24"/>
        </w:rPr>
        <w:lastRenderedPageBreak/>
        <w:t>参照信息安全管理的需求，部分数据需采用加密或专网的传输方式，上传至</w:t>
      </w:r>
      <w:proofErr w:type="gramStart"/>
      <w:r>
        <w:rPr>
          <w:color w:val="231F20"/>
          <w:sz w:val="24"/>
          <w:szCs w:val="24"/>
        </w:rPr>
        <w:t>省级与</w:t>
      </w:r>
      <w:proofErr w:type="gramEnd"/>
      <w:r>
        <w:rPr>
          <w:color w:val="231F20"/>
          <w:sz w:val="24"/>
          <w:szCs w:val="24"/>
        </w:rPr>
        <w:t>国家级数据库。</w:t>
      </w:r>
    </w:p>
    <w:p w:rsidR="00405F55" w:rsidRDefault="00000000">
      <w:pPr>
        <w:pStyle w:val="34"/>
        <w:keepNext/>
        <w:keepLines/>
        <w:tabs>
          <w:tab w:val="left" w:pos="734"/>
        </w:tabs>
        <w:spacing w:line="314" w:lineRule="exact"/>
        <w:outlineLvl w:val="1"/>
        <w:rPr>
          <w:bCs w:val="0"/>
          <w:sz w:val="24"/>
          <w:szCs w:val="24"/>
          <w:lang w:val="en-US" w:bidi="en-US"/>
        </w:rPr>
      </w:pPr>
      <w:bookmarkStart w:id="189" w:name="bookmark194"/>
      <w:bookmarkStart w:id="190" w:name="_Toc29730"/>
      <w:r>
        <w:rPr>
          <w:rFonts w:hint="eastAsia"/>
          <w:bCs w:val="0"/>
          <w:sz w:val="24"/>
          <w:szCs w:val="24"/>
          <w:lang w:val="en-US" w:bidi="en-US"/>
        </w:rPr>
        <w:t>11.2.2  数据审核</w:t>
      </w:r>
      <w:bookmarkEnd w:id="189"/>
      <w:bookmarkEnd w:id="190"/>
    </w:p>
    <w:p w:rsidR="00405F55" w:rsidRDefault="00000000">
      <w:pPr>
        <w:pStyle w:val="12"/>
        <w:spacing w:after="160" w:line="323" w:lineRule="exact"/>
        <w:ind w:firstLine="420"/>
        <w:rPr>
          <w:color w:val="231F20"/>
          <w:sz w:val="24"/>
          <w:szCs w:val="24"/>
        </w:rPr>
      </w:pPr>
      <w:r>
        <w:rPr>
          <w:color w:val="231F20"/>
          <w:sz w:val="24"/>
          <w:szCs w:val="24"/>
        </w:rPr>
        <w:t>全国和省级土壤普查办，负责组织质量控制单位和各级质量控制实验室，分别进行数据审核，国家层面开发数据审核软件辅助数据审核，具体方法参照«第三次全国土壤普查全程质量控制技术规范</w:t>
      </w:r>
      <w:proofErr w:type="gramStart"/>
      <w:r>
        <w:rPr>
          <w:color w:val="231F20"/>
          <w:sz w:val="24"/>
          <w:szCs w:val="24"/>
        </w:rPr>
        <w:t>》</w:t>
      </w:r>
      <w:proofErr w:type="gramEnd"/>
      <w:r>
        <w:rPr>
          <w:color w:val="231F20"/>
          <w:sz w:val="24"/>
          <w:szCs w:val="24"/>
        </w:rPr>
        <w:t>。</w:t>
      </w:r>
    </w:p>
    <w:p w:rsidR="00405F55" w:rsidRDefault="00000000">
      <w:pPr>
        <w:pStyle w:val="5"/>
        <w:spacing w:before="0" w:after="0" w:line="360" w:lineRule="auto"/>
        <w:rPr>
          <w:rFonts w:ascii="宋体" w:eastAsia="宋体" w:hAnsi="宋体" w:cs="宋体"/>
          <w:sz w:val="24"/>
          <w:lang w:eastAsia="zh-CN"/>
        </w:rPr>
      </w:pPr>
      <w:bookmarkStart w:id="191" w:name="_Toc32015"/>
      <w:r>
        <w:rPr>
          <w:rFonts w:ascii="宋体" w:eastAsia="宋体" w:hAnsi="宋体" w:cs="宋体" w:hint="eastAsia"/>
          <w:sz w:val="24"/>
          <w:lang w:eastAsia="zh-CN"/>
        </w:rPr>
        <w:t>11.2.2.1基础数据审核</w:t>
      </w:r>
      <w:bookmarkEnd w:id="191"/>
    </w:p>
    <w:p w:rsidR="00405F55" w:rsidRDefault="00000000">
      <w:pPr>
        <w:pStyle w:val="12"/>
        <w:spacing w:after="160" w:line="323" w:lineRule="exact"/>
        <w:ind w:firstLine="420"/>
        <w:rPr>
          <w:color w:val="231F20"/>
          <w:sz w:val="24"/>
          <w:szCs w:val="24"/>
        </w:rPr>
      </w:pPr>
      <w:r>
        <w:rPr>
          <w:color w:val="231F20"/>
          <w:sz w:val="24"/>
          <w:szCs w:val="24"/>
        </w:rPr>
        <w:t>土壤三普数据库的各项数据，需进行指标数据是否有空项、各土壤指标的计量单位和计算精度是否符合要求等普查数据审核。</w:t>
      </w:r>
    </w:p>
    <w:p w:rsidR="00405F55" w:rsidRDefault="00000000">
      <w:pPr>
        <w:pStyle w:val="5"/>
        <w:spacing w:before="0" w:after="0" w:line="360" w:lineRule="auto"/>
        <w:rPr>
          <w:rFonts w:ascii="宋体" w:eastAsia="宋体" w:hAnsi="宋体" w:cs="宋体"/>
          <w:sz w:val="24"/>
          <w:lang w:eastAsia="zh-CN"/>
        </w:rPr>
      </w:pPr>
      <w:bookmarkStart w:id="192" w:name="_Toc1357"/>
      <w:r>
        <w:rPr>
          <w:rFonts w:ascii="宋体" w:eastAsia="宋体" w:hAnsi="宋体" w:cs="宋体" w:hint="eastAsia"/>
          <w:sz w:val="24"/>
          <w:lang w:eastAsia="zh-CN"/>
        </w:rPr>
        <w:t>11.2.2.2异常值的剔除</w:t>
      </w:r>
      <w:bookmarkEnd w:id="192"/>
    </w:p>
    <w:p w:rsidR="00405F55" w:rsidRDefault="00000000">
      <w:pPr>
        <w:pStyle w:val="12"/>
        <w:spacing w:after="160" w:line="323" w:lineRule="exact"/>
        <w:ind w:firstLine="420"/>
        <w:rPr>
          <w:color w:val="231F20"/>
          <w:sz w:val="24"/>
          <w:szCs w:val="24"/>
        </w:rPr>
      </w:pPr>
      <w:r>
        <w:rPr>
          <w:color w:val="231F20"/>
          <w:sz w:val="24"/>
          <w:szCs w:val="24"/>
        </w:rPr>
        <w:t>土壤普查过程中出现的各类数据，因采样不当、土样被污染、测试化验误差等原因，出现异常值（可疑值）。应根据误差理论和常用数理统计方法，对异常值进行检验和剔除。</w:t>
      </w:r>
    </w:p>
    <w:p w:rsidR="00405F55" w:rsidRDefault="00000000">
      <w:pPr>
        <w:pStyle w:val="34"/>
        <w:keepNext/>
        <w:keepLines/>
        <w:tabs>
          <w:tab w:val="left" w:pos="734"/>
        </w:tabs>
        <w:spacing w:line="314" w:lineRule="exact"/>
        <w:outlineLvl w:val="1"/>
        <w:rPr>
          <w:bCs w:val="0"/>
          <w:sz w:val="24"/>
          <w:szCs w:val="24"/>
          <w:lang w:val="en-US" w:bidi="en-US"/>
        </w:rPr>
      </w:pPr>
      <w:bookmarkStart w:id="193" w:name="bookmark196"/>
      <w:bookmarkStart w:id="194" w:name="_Toc1654"/>
      <w:r>
        <w:rPr>
          <w:rFonts w:hint="eastAsia"/>
          <w:bCs w:val="0"/>
          <w:sz w:val="24"/>
          <w:szCs w:val="24"/>
          <w:lang w:val="en-US" w:bidi="en-US"/>
        </w:rPr>
        <w:t>11.2.3  数据库构建</w:t>
      </w:r>
      <w:bookmarkEnd w:id="193"/>
      <w:bookmarkEnd w:id="194"/>
    </w:p>
    <w:p w:rsidR="00405F55" w:rsidRDefault="00000000">
      <w:pPr>
        <w:pStyle w:val="12"/>
        <w:spacing w:line="310" w:lineRule="exact"/>
        <w:ind w:firstLine="440"/>
      </w:pPr>
      <w:proofErr w:type="gramStart"/>
      <w:r>
        <w:rPr>
          <w:color w:val="231F20"/>
          <w:sz w:val="24"/>
          <w:szCs w:val="24"/>
        </w:rPr>
        <w:t>省级与</w:t>
      </w:r>
      <w:proofErr w:type="gramEnd"/>
      <w:r>
        <w:rPr>
          <w:color w:val="231F20"/>
          <w:sz w:val="24"/>
          <w:szCs w:val="24"/>
        </w:rPr>
        <w:t>国家级分级进行数据审核和异常值剔除后，导入</w:t>
      </w:r>
      <w:proofErr w:type="gramStart"/>
      <w:r>
        <w:rPr>
          <w:color w:val="231F20"/>
          <w:sz w:val="24"/>
          <w:szCs w:val="24"/>
        </w:rPr>
        <w:t>省级与</w:t>
      </w:r>
      <w:proofErr w:type="gramEnd"/>
      <w:r>
        <w:rPr>
          <w:color w:val="231F20"/>
          <w:sz w:val="24"/>
          <w:szCs w:val="24"/>
        </w:rPr>
        <w:t>国家级三普数据库。将形成</w:t>
      </w:r>
      <w:proofErr w:type="gramStart"/>
      <w:r>
        <w:rPr>
          <w:color w:val="231F20"/>
          <w:sz w:val="24"/>
          <w:szCs w:val="24"/>
        </w:rPr>
        <w:t>省级与</w:t>
      </w:r>
      <w:proofErr w:type="gramEnd"/>
      <w:r>
        <w:rPr>
          <w:color w:val="231F20"/>
          <w:sz w:val="24"/>
          <w:szCs w:val="24"/>
        </w:rPr>
        <w:t>国家级土壤物理、化学、生物性状指标数据清单，建成土壤普查基础数据、图件和文字等国家级、省级、县级土壤三普数据库，并建立土壤退化与障碍数据库、耕地质量等级、特色农产品区域、后备耕地资源等土壤专题数据库。</w:t>
      </w:r>
    </w:p>
    <w:p w:rsidR="00405F55" w:rsidRDefault="00000000">
      <w:pPr>
        <w:pStyle w:val="2"/>
        <w:spacing w:before="0" w:after="0" w:line="360" w:lineRule="auto"/>
        <w:rPr>
          <w:rFonts w:ascii="宋体" w:eastAsia="宋体" w:hAnsi="宋体" w:cs="宋体"/>
          <w:sz w:val="30"/>
          <w:szCs w:val="30"/>
          <w:lang w:eastAsia="zh-CN"/>
        </w:rPr>
      </w:pPr>
      <w:bookmarkStart w:id="195" w:name="_Toc27774"/>
      <w:r>
        <w:rPr>
          <w:rFonts w:ascii="宋体" w:eastAsia="宋体" w:hAnsi="宋体" w:cs="宋体" w:hint="eastAsia"/>
          <w:sz w:val="30"/>
          <w:szCs w:val="30"/>
          <w:lang w:eastAsia="zh-CN"/>
        </w:rPr>
        <w:t>11.3 土壤制图</w:t>
      </w:r>
      <w:bookmarkEnd w:id="195"/>
    </w:p>
    <w:p w:rsidR="00405F55" w:rsidRDefault="00000000">
      <w:pPr>
        <w:pStyle w:val="12"/>
        <w:spacing w:line="310" w:lineRule="exact"/>
        <w:ind w:firstLine="440"/>
        <w:rPr>
          <w:color w:val="231F20"/>
          <w:sz w:val="24"/>
          <w:szCs w:val="24"/>
        </w:rPr>
      </w:pPr>
      <w:r>
        <w:rPr>
          <w:color w:val="231F20"/>
          <w:sz w:val="24"/>
          <w:szCs w:val="24"/>
        </w:rPr>
        <w:t>开展县级、省级、国家级土壤类型、土壤属性、土壤专题制图工作。详见«第三次全国土壤普查土壤类型图编制技术规范»和«第三次全国土壤普查土壤属性图与专题图编制技术规范»。</w:t>
      </w:r>
    </w:p>
    <w:p w:rsidR="00405F55" w:rsidRDefault="00000000">
      <w:pPr>
        <w:pStyle w:val="34"/>
        <w:keepNext/>
        <w:keepLines/>
        <w:tabs>
          <w:tab w:val="left" w:pos="734"/>
        </w:tabs>
        <w:spacing w:line="314" w:lineRule="exact"/>
        <w:outlineLvl w:val="1"/>
        <w:rPr>
          <w:bCs w:val="0"/>
          <w:sz w:val="24"/>
          <w:szCs w:val="24"/>
          <w:lang w:val="en-US" w:bidi="en-US"/>
        </w:rPr>
      </w:pPr>
      <w:bookmarkStart w:id="196" w:name="bookmark198"/>
      <w:bookmarkStart w:id="197" w:name="_Toc6220"/>
      <w:r>
        <w:rPr>
          <w:rFonts w:hint="eastAsia"/>
          <w:bCs w:val="0"/>
          <w:sz w:val="24"/>
          <w:szCs w:val="24"/>
          <w:lang w:val="en-US" w:bidi="en-US"/>
        </w:rPr>
        <w:t>11.3.1  数据资料准备</w:t>
      </w:r>
      <w:bookmarkEnd w:id="196"/>
      <w:bookmarkEnd w:id="197"/>
    </w:p>
    <w:p w:rsidR="00405F55" w:rsidRDefault="00000000">
      <w:pPr>
        <w:pStyle w:val="12"/>
        <w:spacing w:after="160" w:line="323" w:lineRule="exact"/>
        <w:ind w:firstLine="420"/>
        <w:rPr>
          <w:color w:val="231F20"/>
          <w:sz w:val="24"/>
          <w:szCs w:val="24"/>
        </w:rPr>
      </w:pPr>
      <w:r>
        <w:rPr>
          <w:color w:val="231F20"/>
          <w:sz w:val="24"/>
          <w:szCs w:val="24"/>
        </w:rPr>
        <w:t>准备土壤数据和成土环境因素数据。土壤数据包括土壤三普表层土壤调查样点和剖面土壤调查样点数据（立地条件、理化性状、土壤类型等）。成土环境因素数据包括气候、母岩母质、地形地貌、植被作物、土地利用、水文地质等数据。</w:t>
      </w:r>
    </w:p>
    <w:p w:rsidR="00405F55" w:rsidRDefault="00000000">
      <w:pPr>
        <w:pStyle w:val="34"/>
        <w:keepNext/>
        <w:keepLines/>
        <w:tabs>
          <w:tab w:val="left" w:pos="734"/>
        </w:tabs>
        <w:spacing w:line="314" w:lineRule="exact"/>
        <w:outlineLvl w:val="1"/>
        <w:rPr>
          <w:bCs w:val="0"/>
          <w:sz w:val="24"/>
          <w:szCs w:val="24"/>
          <w:lang w:val="en-US" w:bidi="en-US"/>
        </w:rPr>
      </w:pPr>
      <w:bookmarkStart w:id="198" w:name="bookmark200"/>
      <w:bookmarkStart w:id="199" w:name="_Toc27620"/>
      <w:r>
        <w:rPr>
          <w:rFonts w:hint="eastAsia"/>
          <w:bCs w:val="0"/>
          <w:sz w:val="24"/>
          <w:szCs w:val="24"/>
          <w:lang w:val="en-US" w:bidi="en-US"/>
        </w:rPr>
        <w:t>11.3.2  土壤类型制图与更新方法</w:t>
      </w:r>
      <w:bookmarkEnd w:id="198"/>
      <w:bookmarkEnd w:id="199"/>
    </w:p>
    <w:p w:rsidR="00405F55" w:rsidRDefault="00000000">
      <w:pPr>
        <w:pStyle w:val="12"/>
        <w:spacing w:after="160" w:line="323" w:lineRule="exact"/>
        <w:ind w:firstLine="420"/>
        <w:rPr>
          <w:color w:val="231F20"/>
          <w:sz w:val="24"/>
          <w:szCs w:val="24"/>
        </w:rPr>
      </w:pPr>
      <w:r>
        <w:rPr>
          <w:color w:val="231F20"/>
          <w:sz w:val="24"/>
          <w:szCs w:val="24"/>
        </w:rPr>
        <w:t>采用两个分类系统进行土壤类型制图。对于中国土壤发生分类，开展县级、省级和国家级土壤制图，分类级别原则上分别到土种、土属和亚类；对于中国土壤系统分类，</w:t>
      </w:r>
      <w:proofErr w:type="gramStart"/>
      <w:r>
        <w:rPr>
          <w:color w:val="231F20"/>
          <w:sz w:val="24"/>
          <w:szCs w:val="24"/>
        </w:rPr>
        <w:t>仅开展省级</w:t>
      </w:r>
      <w:proofErr w:type="gramEnd"/>
      <w:r>
        <w:rPr>
          <w:color w:val="231F20"/>
          <w:sz w:val="24"/>
          <w:szCs w:val="24"/>
        </w:rPr>
        <w:t>和国家级土壤制图，分类级别原则上分别到土族和亚类。</w:t>
      </w:r>
    </w:p>
    <w:p w:rsidR="00405F55" w:rsidRDefault="00000000">
      <w:pPr>
        <w:pStyle w:val="12"/>
        <w:spacing w:after="160" w:line="323" w:lineRule="exact"/>
        <w:ind w:firstLine="420"/>
        <w:rPr>
          <w:color w:val="231F20"/>
          <w:sz w:val="24"/>
          <w:szCs w:val="24"/>
        </w:rPr>
      </w:pPr>
      <w:r>
        <w:rPr>
          <w:color w:val="231F20"/>
          <w:sz w:val="24"/>
          <w:szCs w:val="24"/>
        </w:rPr>
        <w:t>以土壤工作底图为基础，充分利用外业调查采样和分析化验结果等，修正完善土壤分类暂行方案和土壤工作底图，形成土壤调查初级成果图，并利用土壤类型图层提取、缩编、制图综合等专题制图技术，编制形成不同层级的土壤类型图。针对存在土种图缺失、土壤类型和边界错误、土壤类型发生变化等问题的区域，基于土壤三普剖面调查及所在图斑土壤类型野外校核结果、成土环境因素数据，考虑山地丘陵和平原不同的景观特点，采用数字土壤制图技术方法，形成土壤三普初级成果图和各层级土壤类型图。详见«第三次全国土壤普查土壤类型图编制技术规范</w:t>
      </w:r>
      <w:proofErr w:type="gramStart"/>
      <w:r>
        <w:rPr>
          <w:color w:val="231F20"/>
          <w:sz w:val="24"/>
          <w:szCs w:val="24"/>
        </w:rPr>
        <w:t>》</w:t>
      </w:r>
      <w:proofErr w:type="gramEnd"/>
      <w:r>
        <w:rPr>
          <w:color w:val="231F20"/>
          <w:sz w:val="24"/>
          <w:szCs w:val="24"/>
        </w:rPr>
        <w:t>。</w:t>
      </w:r>
    </w:p>
    <w:p w:rsidR="00405F55" w:rsidRDefault="00000000">
      <w:pPr>
        <w:pStyle w:val="34"/>
        <w:keepNext/>
        <w:keepLines/>
        <w:tabs>
          <w:tab w:val="left" w:pos="734"/>
        </w:tabs>
        <w:spacing w:line="314" w:lineRule="exact"/>
        <w:outlineLvl w:val="1"/>
        <w:rPr>
          <w:bCs w:val="0"/>
          <w:sz w:val="24"/>
          <w:szCs w:val="24"/>
          <w:lang w:val="en-US" w:bidi="en-US"/>
        </w:rPr>
      </w:pPr>
      <w:bookmarkStart w:id="200" w:name="bookmark202"/>
      <w:bookmarkStart w:id="201" w:name="_Toc23042"/>
      <w:r>
        <w:rPr>
          <w:rFonts w:hint="eastAsia"/>
          <w:bCs w:val="0"/>
          <w:sz w:val="24"/>
          <w:szCs w:val="24"/>
          <w:lang w:val="en-US" w:bidi="en-US"/>
        </w:rPr>
        <w:lastRenderedPageBreak/>
        <w:t>11.3.3  土壤属性图制作方法</w:t>
      </w:r>
      <w:bookmarkEnd w:id="200"/>
      <w:bookmarkEnd w:id="201"/>
    </w:p>
    <w:p w:rsidR="00405F55" w:rsidRDefault="00000000">
      <w:pPr>
        <w:pStyle w:val="12"/>
        <w:spacing w:after="160" w:line="323" w:lineRule="exact"/>
        <w:ind w:firstLine="420"/>
        <w:rPr>
          <w:color w:val="231F20"/>
          <w:sz w:val="24"/>
          <w:szCs w:val="24"/>
        </w:rPr>
      </w:pPr>
      <w:r>
        <w:rPr>
          <w:color w:val="231F20"/>
          <w:sz w:val="24"/>
          <w:szCs w:val="24"/>
        </w:rPr>
        <w:t>土壤属性</w:t>
      </w:r>
      <w:proofErr w:type="gramStart"/>
      <w:r>
        <w:rPr>
          <w:color w:val="231F20"/>
          <w:sz w:val="24"/>
          <w:szCs w:val="24"/>
        </w:rPr>
        <w:t>图包括</w:t>
      </w:r>
      <w:proofErr w:type="gramEnd"/>
      <w:r>
        <w:rPr>
          <w:color w:val="231F20"/>
          <w:sz w:val="24"/>
          <w:szCs w:val="24"/>
        </w:rPr>
        <w:t>土壤有机质含量、土壤养分图（大、中微量元素等）、土壤碳库与养分库、土壤退化（盐碱化、酸化等）、土壤障碍、黑土资源分布图等。</w:t>
      </w:r>
    </w:p>
    <w:p w:rsidR="00405F55" w:rsidRDefault="00000000">
      <w:pPr>
        <w:pStyle w:val="12"/>
        <w:spacing w:after="160" w:line="323" w:lineRule="exact"/>
        <w:ind w:firstLine="420"/>
        <w:rPr>
          <w:color w:val="231F20"/>
          <w:sz w:val="24"/>
          <w:szCs w:val="24"/>
        </w:rPr>
      </w:pPr>
      <w:r>
        <w:rPr>
          <w:color w:val="231F20"/>
          <w:sz w:val="24"/>
          <w:szCs w:val="24"/>
        </w:rPr>
        <w:t>利用土壤属性与不同比例尺气候、生物、母质、地形、人为因素等环境变量的相关性，确定不同土壤属性与比例尺的环境变量，结合平原、丘陵、山地、高原、盆地的地形分区，构建不同土壤属性与比例尺的制图模型。按照方法相对成熟、精度较优的原则，经模型精度比较后，筛选出1个最优土壤属性制图模型或相对成熟的模型进行土壤制图。详见</w:t>
      </w:r>
      <w:r>
        <w:rPr>
          <w:rFonts w:hint="eastAsia"/>
          <w:color w:val="231F20"/>
          <w:sz w:val="24"/>
          <w:szCs w:val="24"/>
          <w:lang w:val="en-US"/>
        </w:rPr>
        <w:t>《</w:t>
      </w:r>
      <w:r>
        <w:rPr>
          <w:color w:val="231F20"/>
          <w:sz w:val="24"/>
          <w:szCs w:val="24"/>
        </w:rPr>
        <w:t>第三次全国土壤普查土壤属性图与专题图编制技术规范》。</w:t>
      </w:r>
    </w:p>
    <w:p w:rsidR="00405F55" w:rsidRDefault="00000000">
      <w:pPr>
        <w:pStyle w:val="34"/>
        <w:keepNext/>
        <w:keepLines/>
        <w:tabs>
          <w:tab w:val="left" w:pos="734"/>
        </w:tabs>
        <w:spacing w:line="314" w:lineRule="exact"/>
        <w:outlineLvl w:val="1"/>
        <w:rPr>
          <w:bCs w:val="0"/>
          <w:sz w:val="24"/>
          <w:szCs w:val="24"/>
          <w:lang w:val="en-US" w:bidi="en-US"/>
        </w:rPr>
      </w:pPr>
      <w:bookmarkStart w:id="202" w:name="bookmark204"/>
      <w:bookmarkStart w:id="203" w:name="_Toc19233"/>
      <w:r>
        <w:rPr>
          <w:rFonts w:hint="eastAsia"/>
          <w:bCs w:val="0"/>
          <w:sz w:val="24"/>
          <w:szCs w:val="24"/>
          <w:lang w:val="en-US" w:bidi="en-US"/>
        </w:rPr>
        <w:t>11.3.4  土壤专题图制作方法</w:t>
      </w:r>
      <w:bookmarkEnd w:id="202"/>
      <w:bookmarkEnd w:id="203"/>
    </w:p>
    <w:p w:rsidR="00405F55" w:rsidRDefault="00000000">
      <w:pPr>
        <w:pStyle w:val="12"/>
        <w:spacing w:after="160" w:line="323" w:lineRule="exact"/>
        <w:ind w:firstLine="420"/>
        <w:rPr>
          <w:color w:val="231F20"/>
          <w:sz w:val="24"/>
          <w:szCs w:val="24"/>
        </w:rPr>
      </w:pPr>
      <w:r>
        <w:rPr>
          <w:color w:val="231F20"/>
          <w:sz w:val="24"/>
          <w:szCs w:val="24"/>
        </w:rPr>
        <w:t>土壤专题</w:t>
      </w:r>
      <w:proofErr w:type="gramStart"/>
      <w:r>
        <w:rPr>
          <w:color w:val="231F20"/>
          <w:sz w:val="24"/>
          <w:szCs w:val="24"/>
        </w:rPr>
        <w:t>图包括</w:t>
      </w:r>
      <w:proofErr w:type="gramEnd"/>
      <w:r>
        <w:rPr>
          <w:color w:val="231F20"/>
          <w:sz w:val="24"/>
          <w:szCs w:val="24"/>
        </w:rPr>
        <w:t>耕地质量等级图、退化耕地分布图、后备耕地资源分布图、特色农产品专题图、土壤利用适宜性分布图等。</w:t>
      </w:r>
    </w:p>
    <w:p w:rsidR="00405F55" w:rsidRDefault="00000000">
      <w:pPr>
        <w:pStyle w:val="12"/>
        <w:spacing w:after="160" w:line="323" w:lineRule="exact"/>
        <w:ind w:firstLine="420"/>
        <w:rPr>
          <w:color w:val="231F20"/>
          <w:sz w:val="24"/>
          <w:szCs w:val="24"/>
        </w:rPr>
      </w:pPr>
      <w:r>
        <w:rPr>
          <w:color w:val="231F20"/>
          <w:sz w:val="24"/>
          <w:szCs w:val="24"/>
        </w:rPr>
        <w:t>在完成土壤类型和土壤属性制图成果图基础上，根据各类专题</w:t>
      </w:r>
      <w:proofErr w:type="gramStart"/>
      <w:r>
        <w:rPr>
          <w:color w:val="231F20"/>
          <w:sz w:val="24"/>
          <w:szCs w:val="24"/>
        </w:rPr>
        <w:t>图评价</w:t>
      </w:r>
      <w:proofErr w:type="gramEnd"/>
      <w:r>
        <w:rPr>
          <w:color w:val="231F20"/>
          <w:sz w:val="24"/>
          <w:szCs w:val="24"/>
        </w:rPr>
        <w:t>指标与分级标准体系，通过</w:t>
      </w:r>
      <w:r>
        <w:rPr>
          <w:color w:val="231F20"/>
          <w:sz w:val="24"/>
          <w:szCs w:val="24"/>
          <w:lang w:val="en-US"/>
        </w:rPr>
        <w:t>GIS</w:t>
      </w:r>
      <w:r>
        <w:rPr>
          <w:color w:val="231F20"/>
          <w:sz w:val="24"/>
          <w:szCs w:val="24"/>
        </w:rPr>
        <w:t>软件进行</w:t>
      </w:r>
      <w:proofErr w:type="gramStart"/>
      <w:r>
        <w:rPr>
          <w:color w:val="231F20"/>
          <w:sz w:val="24"/>
          <w:szCs w:val="24"/>
        </w:rPr>
        <w:t>图层空间</w:t>
      </w:r>
      <w:proofErr w:type="gramEnd"/>
      <w:r>
        <w:rPr>
          <w:color w:val="231F20"/>
          <w:sz w:val="24"/>
          <w:szCs w:val="24"/>
        </w:rPr>
        <w:t>计算，获得各评价单元（或像素）评价指数；按指标体系的评价标准，最终确定评价单元的评价等级，制作土壤专题图。对于土壤属性和专题图，采取完成大比例尺精度制图，以制图综合的方法，逐级汇总出省级再到国家级的方式。</w:t>
      </w:r>
    </w:p>
    <w:p w:rsidR="00405F55" w:rsidRDefault="00000000">
      <w:pPr>
        <w:pStyle w:val="34"/>
        <w:keepNext/>
        <w:keepLines/>
        <w:tabs>
          <w:tab w:val="left" w:pos="734"/>
        </w:tabs>
        <w:spacing w:line="314" w:lineRule="exact"/>
        <w:outlineLvl w:val="1"/>
        <w:rPr>
          <w:bCs w:val="0"/>
          <w:sz w:val="24"/>
          <w:szCs w:val="24"/>
          <w:lang w:val="en-US" w:bidi="en-US"/>
        </w:rPr>
      </w:pPr>
      <w:bookmarkStart w:id="204" w:name="bookmark206"/>
      <w:bookmarkStart w:id="205" w:name="_Toc8907"/>
      <w:r>
        <w:rPr>
          <w:rFonts w:hint="eastAsia"/>
          <w:bCs w:val="0"/>
          <w:sz w:val="24"/>
          <w:szCs w:val="24"/>
          <w:lang w:val="en-US" w:bidi="en-US"/>
        </w:rPr>
        <w:t>11.3.5  制图结果验证评价</w:t>
      </w:r>
      <w:bookmarkEnd w:id="204"/>
      <w:bookmarkEnd w:id="205"/>
    </w:p>
    <w:p w:rsidR="00405F55" w:rsidRDefault="00000000">
      <w:pPr>
        <w:pStyle w:val="12"/>
        <w:spacing w:after="160" w:line="323" w:lineRule="exact"/>
        <w:ind w:firstLine="420"/>
        <w:rPr>
          <w:color w:val="231F20"/>
          <w:sz w:val="24"/>
          <w:szCs w:val="24"/>
        </w:rPr>
      </w:pPr>
      <w:r>
        <w:rPr>
          <w:color w:val="231F20"/>
          <w:sz w:val="24"/>
          <w:szCs w:val="24"/>
        </w:rPr>
        <w:t>采用基于调查样点的（交叉）验证评价、不确定性评价、野外路线踏勘验证评价等方法，对土壤类型图、土壤属性图和专题图的制图精度进行评估。</w:t>
      </w:r>
    </w:p>
    <w:p w:rsidR="00405F55" w:rsidRDefault="00000000">
      <w:pPr>
        <w:pStyle w:val="34"/>
        <w:keepNext/>
        <w:keepLines/>
        <w:tabs>
          <w:tab w:val="left" w:pos="734"/>
        </w:tabs>
        <w:spacing w:line="314" w:lineRule="exact"/>
        <w:outlineLvl w:val="1"/>
        <w:rPr>
          <w:bCs w:val="0"/>
          <w:sz w:val="24"/>
          <w:szCs w:val="24"/>
          <w:lang w:val="en-US" w:bidi="en-US"/>
        </w:rPr>
      </w:pPr>
      <w:bookmarkStart w:id="206" w:name="bookmark208"/>
      <w:bookmarkStart w:id="207" w:name="_Toc17003"/>
      <w:r>
        <w:rPr>
          <w:rFonts w:hint="eastAsia"/>
          <w:bCs w:val="0"/>
          <w:sz w:val="24"/>
          <w:szCs w:val="24"/>
          <w:lang w:val="en-US" w:bidi="en-US"/>
        </w:rPr>
        <w:t>11.3.6  图件编制与出版</w:t>
      </w:r>
      <w:bookmarkEnd w:id="206"/>
      <w:bookmarkEnd w:id="207"/>
    </w:p>
    <w:p w:rsidR="00405F55" w:rsidRDefault="00000000">
      <w:pPr>
        <w:pStyle w:val="12"/>
        <w:spacing w:after="160" w:line="323" w:lineRule="exact"/>
        <w:ind w:firstLine="420"/>
        <w:rPr>
          <w:color w:val="231F20"/>
          <w:sz w:val="24"/>
          <w:szCs w:val="24"/>
        </w:rPr>
      </w:pPr>
      <w:r>
        <w:rPr>
          <w:color w:val="231F20"/>
          <w:sz w:val="24"/>
          <w:szCs w:val="24"/>
        </w:rPr>
        <w:t>统一土壤类型、土壤属性、土壤专题图的编制规范，包括编制单位、图名、普查时间等制图内容与格式。编制内容主要包括：图名、编制单位、制图单位及制图人员、制图时间、土壤调查时间、绘图单位及绘图人员、地图投影、比例尺等。其他说明包括地理要素所采用的地形图比例尺和时间。上述图例与标识放在图廓外的适宜位置，应平衡美观。</w:t>
      </w:r>
    </w:p>
    <w:p w:rsidR="00405F55" w:rsidRDefault="00000000">
      <w:pPr>
        <w:pStyle w:val="12"/>
        <w:spacing w:after="160" w:line="323" w:lineRule="exact"/>
        <w:ind w:firstLine="420"/>
        <w:rPr>
          <w:color w:val="231F20"/>
          <w:sz w:val="24"/>
          <w:szCs w:val="24"/>
        </w:rPr>
      </w:pPr>
      <w:r>
        <w:rPr>
          <w:color w:val="231F20"/>
          <w:sz w:val="24"/>
          <w:szCs w:val="24"/>
        </w:rPr>
        <w:t>按照国家地图出版等相关要求，</w:t>
      </w:r>
      <w:proofErr w:type="gramStart"/>
      <w:r>
        <w:rPr>
          <w:color w:val="231F20"/>
          <w:sz w:val="24"/>
          <w:szCs w:val="24"/>
        </w:rPr>
        <w:t>省级与</w:t>
      </w:r>
      <w:proofErr w:type="gramEnd"/>
      <w:r>
        <w:rPr>
          <w:color w:val="231F20"/>
          <w:sz w:val="24"/>
          <w:szCs w:val="24"/>
        </w:rPr>
        <w:t>国家级分别筛选部分成果图件出版发行。</w:t>
      </w:r>
    </w:p>
    <w:p w:rsidR="00405F55" w:rsidRDefault="00000000">
      <w:pPr>
        <w:pStyle w:val="2"/>
        <w:spacing w:before="0" w:after="0" w:line="360" w:lineRule="auto"/>
        <w:rPr>
          <w:rFonts w:ascii="宋体" w:eastAsia="宋体" w:hAnsi="宋体" w:cs="宋体"/>
          <w:sz w:val="30"/>
          <w:szCs w:val="30"/>
          <w:lang w:eastAsia="zh-CN"/>
        </w:rPr>
      </w:pPr>
      <w:bookmarkStart w:id="208" w:name="_Toc14498"/>
      <w:r>
        <w:rPr>
          <w:rFonts w:ascii="宋体" w:eastAsia="宋体" w:hAnsi="宋体" w:cs="宋体" w:hint="eastAsia"/>
          <w:sz w:val="30"/>
          <w:szCs w:val="30"/>
          <w:lang w:eastAsia="zh-CN"/>
        </w:rPr>
        <w:t>11.4  总结报告编写</w:t>
      </w:r>
      <w:bookmarkEnd w:id="208"/>
    </w:p>
    <w:p w:rsidR="00405F55" w:rsidRDefault="00000000">
      <w:pPr>
        <w:pStyle w:val="12"/>
        <w:spacing w:after="160" w:line="323" w:lineRule="exact"/>
        <w:ind w:firstLine="420"/>
        <w:rPr>
          <w:color w:val="231F20"/>
          <w:sz w:val="24"/>
          <w:szCs w:val="24"/>
        </w:rPr>
      </w:pPr>
      <w:r>
        <w:rPr>
          <w:color w:val="231F20"/>
          <w:sz w:val="24"/>
          <w:szCs w:val="24"/>
        </w:rPr>
        <w:t>分级开展土壤普查报告撰写工作，县级、省级土壤普查办逐级各自负责报告的编制，省级土壤普查办负责审核县级与省级的总结报告；全国土壤普查办负责编制全国土壤普查的总结报告。</w:t>
      </w:r>
    </w:p>
    <w:p w:rsidR="00405F55" w:rsidRDefault="00000000">
      <w:pPr>
        <w:pStyle w:val="34"/>
        <w:keepNext/>
        <w:keepLines/>
        <w:tabs>
          <w:tab w:val="left" w:pos="734"/>
        </w:tabs>
        <w:spacing w:line="314" w:lineRule="exact"/>
        <w:outlineLvl w:val="1"/>
        <w:rPr>
          <w:bCs w:val="0"/>
          <w:sz w:val="24"/>
          <w:szCs w:val="24"/>
          <w:lang w:val="en-US" w:bidi="en-US"/>
        </w:rPr>
      </w:pPr>
      <w:bookmarkStart w:id="209" w:name="bookmark210"/>
      <w:bookmarkStart w:id="210" w:name="_Toc15336"/>
      <w:r>
        <w:rPr>
          <w:rFonts w:hint="eastAsia"/>
          <w:bCs w:val="0"/>
          <w:sz w:val="24"/>
          <w:szCs w:val="24"/>
          <w:lang w:val="en-US" w:bidi="en-US"/>
        </w:rPr>
        <w:t>11.4.1 土壤三普工作报告</w:t>
      </w:r>
      <w:bookmarkEnd w:id="209"/>
      <w:bookmarkEnd w:id="210"/>
    </w:p>
    <w:p w:rsidR="00405F55" w:rsidRDefault="00000000">
      <w:pPr>
        <w:pStyle w:val="12"/>
        <w:spacing w:after="160" w:line="323" w:lineRule="exact"/>
        <w:ind w:firstLine="420"/>
        <w:rPr>
          <w:color w:val="231F20"/>
          <w:sz w:val="24"/>
          <w:szCs w:val="24"/>
        </w:rPr>
      </w:pPr>
      <w:r>
        <w:rPr>
          <w:color w:val="231F20"/>
          <w:sz w:val="24"/>
          <w:szCs w:val="24"/>
        </w:rPr>
        <w:t>包括总体工作进展、任务完成情况、资金安排及使用情况、主要做法、经验成效、土壤存在问题和下一步改良利用对策等方面。</w:t>
      </w:r>
    </w:p>
    <w:p w:rsidR="00405F55" w:rsidRDefault="00000000">
      <w:pPr>
        <w:pStyle w:val="34"/>
        <w:keepNext/>
        <w:keepLines/>
        <w:tabs>
          <w:tab w:val="left" w:pos="734"/>
        </w:tabs>
        <w:spacing w:line="314" w:lineRule="exact"/>
        <w:outlineLvl w:val="1"/>
        <w:rPr>
          <w:bCs w:val="0"/>
          <w:sz w:val="24"/>
          <w:szCs w:val="24"/>
          <w:lang w:val="en-US" w:bidi="en-US"/>
        </w:rPr>
      </w:pPr>
      <w:bookmarkStart w:id="211" w:name="bookmark212"/>
      <w:bookmarkStart w:id="212" w:name="_Toc4297"/>
      <w:r>
        <w:rPr>
          <w:rFonts w:hint="eastAsia"/>
          <w:bCs w:val="0"/>
          <w:sz w:val="24"/>
          <w:szCs w:val="24"/>
          <w:lang w:val="en-US" w:bidi="en-US"/>
        </w:rPr>
        <w:t>11.4.2 土壤三普技术报告</w:t>
      </w:r>
      <w:bookmarkEnd w:id="211"/>
      <w:bookmarkEnd w:id="212"/>
    </w:p>
    <w:p w:rsidR="00405F55" w:rsidRDefault="00000000">
      <w:pPr>
        <w:pStyle w:val="12"/>
        <w:spacing w:line="314" w:lineRule="exact"/>
        <w:ind w:firstLine="440"/>
      </w:pPr>
      <w:r>
        <w:rPr>
          <w:color w:val="231F20"/>
          <w:sz w:val="24"/>
          <w:szCs w:val="24"/>
        </w:rPr>
        <w:t>重点总结土壤三普“1+9”技术规程规范的实践情况，系统整理土壤普查关键技术内容、实施机制和应用成效，总结技术形成与发展的方式方法，以及普查过程中解决的技术难题、工作建议等。</w:t>
      </w:r>
      <w:r>
        <w:rPr>
          <w:color w:val="231F20"/>
          <w:sz w:val="24"/>
          <w:szCs w:val="24"/>
        </w:rPr>
        <w:br/>
      </w:r>
      <w:r>
        <w:rPr>
          <w:rFonts w:hint="eastAsia"/>
          <w:b/>
          <w:sz w:val="24"/>
          <w:szCs w:val="24"/>
          <w:lang w:val="en-US" w:bidi="en-US"/>
        </w:rPr>
        <w:t>11.4.3 土壤三普专题报告</w:t>
      </w:r>
    </w:p>
    <w:p w:rsidR="00405F55" w:rsidRDefault="00000000">
      <w:pPr>
        <w:pStyle w:val="12"/>
        <w:spacing w:after="160" w:line="323" w:lineRule="exact"/>
        <w:ind w:firstLine="420"/>
        <w:rPr>
          <w:color w:val="231F20"/>
          <w:sz w:val="24"/>
          <w:szCs w:val="24"/>
        </w:rPr>
      </w:pPr>
      <w:r>
        <w:rPr>
          <w:color w:val="231F20"/>
          <w:sz w:val="24"/>
          <w:szCs w:val="24"/>
        </w:rPr>
        <w:lastRenderedPageBreak/>
        <w:t>包括全国及区域耕地质量、土壤类型分布、土壤利用适宜性（适宜于耕地、园地、林地和草地利用）评价报告；耕地、园地、林地、草地土壤质量报告，东北黑土地保护利用、退化耕地改良利用、特色农产品区域土壤特征、土壤生物多样性研究等专项报告。</w:t>
      </w:r>
    </w:p>
    <w:p w:rsidR="00405F55" w:rsidRDefault="00000000">
      <w:pPr>
        <w:pStyle w:val="2"/>
        <w:spacing w:before="0" w:after="0" w:line="360" w:lineRule="auto"/>
        <w:rPr>
          <w:rFonts w:ascii="宋体" w:eastAsia="宋体" w:hAnsi="宋体" w:cs="宋体"/>
          <w:sz w:val="30"/>
          <w:szCs w:val="30"/>
          <w:lang w:eastAsia="zh-CN"/>
        </w:rPr>
      </w:pPr>
      <w:bookmarkStart w:id="213" w:name="_Toc1211"/>
      <w:r>
        <w:rPr>
          <w:rFonts w:ascii="宋体" w:eastAsia="宋体" w:hAnsi="宋体" w:cs="宋体" w:hint="eastAsia"/>
          <w:sz w:val="30"/>
          <w:szCs w:val="30"/>
          <w:lang w:eastAsia="zh-CN"/>
        </w:rPr>
        <w:t>11.5 土壤普查成果的验收</w:t>
      </w:r>
      <w:bookmarkEnd w:id="213"/>
    </w:p>
    <w:p w:rsidR="00405F55" w:rsidRDefault="00000000">
      <w:pPr>
        <w:pStyle w:val="12"/>
        <w:spacing w:after="160" w:line="323" w:lineRule="exact"/>
        <w:ind w:firstLine="420"/>
        <w:rPr>
          <w:color w:val="231F20"/>
          <w:sz w:val="24"/>
          <w:szCs w:val="24"/>
        </w:rPr>
      </w:pPr>
      <w:r>
        <w:rPr>
          <w:color w:val="231F20"/>
          <w:sz w:val="24"/>
          <w:szCs w:val="24"/>
        </w:rPr>
        <w:t>土壤普查成果实行国家级与省级两级验收，验收内容主要包括土壤样品库、数据库、图件、文字报告等普查成果。重点检查数据库及成果的真实性、完整性、规范性和合理性。县级与省级组织内业核查，并根据内业核查情况选择不少于10%的乡镇与市县开展外业核查。内业、外业核查均合格后，通过验收。</w:t>
      </w:r>
    </w:p>
    <w:p w:rsidR="00405F55" w:rsidRDefault="00000000">
      <w:pPr>
        <w:pStyle w:val="34"/>
        <w:keepNext/>
        <w:keepLines/>
        <w:tabs>
          <w:tab w:val="left" w:pos="826"/>
        </w:tabs>
        <w:spacing w:line="316" w:lineRule="exact"/>
        <w:rPr>
          <w:bCs w:val="0"/>
          <w:sz w:val="24"/>
          <w:szCs w:val="24"/>
          <w:lang w:val="en-US" w:bidi="en-US"/>
        </w:rPr>
      </w:pPr>
      <w:bookmarkStart w:id="214" w:name="_Toc25880"/>
      <w:r>
        <w:rPr>
          <w:rFonts w:hint="eastAsia"/>
          <w:bCs w:val="0"/>
          <w:sz w:val="24"/>
          <w:szCs w:val="24"/>
          <w:lang w:val="en-US" w:bidi="en-US"/>
        </w:rPr>
        <w:t>11.5.1  县级土壤普查成果验收</w:t>
      </w:r>
      <w:bookmarkEnd w:id="214"/>
    </w:p>
    <w:p w:rsidR="00405F55" w:rsidRDefault="00000000">
      <w:pPr>
        <w:pStyle w:val="12"/>
        <w:spacing w:after="160" w:line="323" w:lineRule="exact"/>
        <w:ind w:firstLine="420"/>
        <w:rPr>
          <w:color w:val="231F20"/>
          <w:sz w:val="24"/>
          <w:szCs w:val="24"/>
        </w:rPr>
      </w:pPr>
      <w:r>
        <w:rPr>
          <w:color w:val="231F20"/>
          <w:sz w:val="24"/>
          <w:szCs w:val="24"/>
        </w:rPr>
        <w:t>各县级土壤普查办完成数据审核上报、普查报告撰写等工作后，向省级土壤普查办提出验收申请。省级土壤普查办组织专家分县进行验收，验收小组负责人需在成果验收意见表上签名确认通过验收，或提出整改建议。</w:t>
      </w:r>
    </w:p>
    <w:p w:rsidR="00405F55" w:rsidRDefault="00000000">
      <w:pPr>
        <w:pStyle w:val="34"/>
        <w:keepNext/>
        <w:keepLines/>
        <w:tabs>
          <w:tab w:val="left" w:pos="826"/>
        </w:tabs>
        <w:spacing w:line="316" w:lineRule="exact"/>
        <w:rPr>
          <w:bCs w:val="0"/>
          <w:sz w:val="24"/>
          <w:szCs w:val="24"/>
          <w:lang w:val="en-US" w:bidi="en-US"/>
        </w:rPr>
      </w:pPr>
      <w:bookmarkStart w:id="215" w:name="bookmark216"/>
      <w:bookmarkStart w:id="216" w:name="_Toc5014"/>
      <w:proofErr w:type="gramStart"/>
      <w:r>
        <w:rPr>
          <w:rFonts w:hint="eastAsia"/>
          <w:bCs w:val="0"/>
          <w:sz w:val="24"/>
          <w:szCs w:val="24"/>
          <w:lang w:val="en-US" w:bidi="en-US"/>
        </w:rPr>
        <w:t xml:space="preserve">11.5.2  </w:t>
      </w:r>
      <w:proofErr w:type="gramEnd"/>
      <w:r>
        <w:rPr>
          <w:rFonts w:hint="eastAsia"/>
          <w:bCs w:val="0"/>
          <w:sz w:val="24"/>
          <w:szCs w:val="24"/>
          <w:lang w:val="en-US" w:bidi="en-US"/>
        </w:rPr>
        <w:t>省级土壤普查成果验收</w:t>
      </w:r>
      <w:bookmarkEnd w:id="215"/>
      <w:bookmarkEnd w:id="216"/>
    </w:p>
    <w:p w:rsidR="00405F55" w:rsidRDefault="00000000">
      <w:pPr>
        <w:pStyle w:val="12"/>
        <w:spacing w:after="160" w:line="323" w:lineRule="exact"/>
        <w:ind w:firstLine="420"/>
        <w:rPr>
          <w:color w:val="231F20"/>
          <w:sz w:val="24"/>
          <w:szCs w:val="24"/>
        </w:rPr>
      </w:pPr>
      <w:r>
        <w:rPr>
          <w:color w:val="231F20"/>
          <w:sz w:val="24"/>
          <w:szCs w:val="24"/>
        </w:rPr>
        <w:t>各省级土壤普查办完成数据审核上报、普查报告撰写等工作后，向全国土壤普查办提出验收申请。全国土壤普查办组织专家分省进行验收，验收小组负责人需在成果验收意见表上签名确认通过验收，或提出整改建议。</w:t>
      </w:r>
    </w:p>
    <w:p w:rsidR="00405F55" w:rsidRDefault="00000000">
      <w:pPr>
        <w:pStyle w:val="34"/>
        <w:keepNext/>
        <w:keepLines/>
        <w:tabs>
          <w:tab w:val="left" w:pos="826"/>
        </w:tabs>
        <w:spacing w:line="316" w:lineRule="exact"/>
        <w:rPr>
          <w:bCs w:val="0"/>
          <w:sz w:val="24"/>
          <w:szCs w:val="24"/>
          <w:lang w:val="en-US" w:bidi="en-US"/>
        </w:rPr>
      </w:pPr>
      <w:bookmarkStart w:id="217" w:name="bookmark218"/>
      <w:bookmarkStart w:id="218" w:name="_Toc19658"/>
      <w:r>
        <w:rPr>
          <w:rFonts w:hint="eastAsia"/>
          <w:bCs w:val="0"/>
          <w:sz w:val="24"/>
          <w:szCs w:val="24"/>
          <w:lang w:val="en-US" w:bidi="en-US"/>
        </w:rPr>
        <w:t>11.5.3  国家级土壤普查成果验收</w:t>
      </w:r>
      <w:bookmarkEnd w:id="217"/>
      <w:bookmarkEnd w:id="218"/>
    </w:p>
    <w:p w:rsidR="00405F55" w:rsidRDefault="00000000">
      <w:pPr>
        <w:pStyle w:val="12"/>
        <w:spacing w:after="160" w:line="323" w:lineRule="exact"/>
        <w:ind w:firstLine="420"/>
        <w:rPr>
          <w:color w:val="231F20"/>
          <w:sz w:val="24"/>
          <w:szCs w:val="24"/>
        </w:rPr>
      </w:pPr>
      <w:r>
        <w:rPr>
          <w:color w:val="231F20"/>
          <w:sz w:val="24"/>
          <w:szCs w:val="24"/>
        </w:rPr>
        <w:t>全国土壤三普领导小组组织专家，对照全国土壤三普工作任务，对数据和图件的准确性、文字报告科学性、工作任务的完整性等，对全国土壤普查成果进行验收。</w:t>
      </w:r>
    </w:p>
    <w:p w:rsidR="00405F55" w:rsidRDefault="00000000">
      <w:pPr>
        <w:pStyle w:val="34"/>
        <w:keepNext/>
        <w:keepLines/>
        <w:tabs>
          <w:tab w:val="left" w:pos="826"/>
        </w:tabs>
        <w:spacing w:line="316" w:lineRule="exact"/>
        <w:rPr>
          <w:bCs w:val="0"/>
          <w:sz w:val="24"/>
          <w:szCs w:val="24"/>
          <w:lang w:val="en-US" w:bidi="en-US"/>
        </w:rPr>
      </w:pPr>
      <w:bookmarkStart w:id="219" w:name="bookmark220"/>
      <w:bookmarkStart w:id="220" w:name="_Toc30934"/>
      <w:proofErr w:type="gramStart"/>
      <w:r>
        <w:rPr>
          <w:rFonts w:hint="eastAsia"/>
          <w:bCs w:val="0"/>
          <w:sz w:val="24"/>
          <w:szCs w:val="24"/>
          <w:lang w:val="en-US" w:bidi="en-US"/>
        </w:rPr>
        <w:t xml:space="preserve">11.5.4  </w:t>
      </w:r>
      <w:proofErr w:type="gramEnd"/>
      <w:r>
        <w:rPr>
          <w:rFonts w:hint="eastAsia"/>
          <w:bCs w:val="0"/>
          <w:sz w:val="24"/>
          <w:szCs w:val="24"/>
          <w:lang w:val="en-US" w:bidi="en-US"/>
        </w:rPr>
        <w:t>土壤普查成果的发布</w:t>
      </w:r>
      <w:bookmarkEnd w:id="219"/>
      <w:bookmarkEnd w:id="220"/>
    </w:p>
    <w:p w:rsidR="00405F55" w:rsidRDefault="00000000">
      <w:pPr>
        <w:pStyle w:val="12"/>
        <w:spacing w:after="160" w:line="323" w:lineRule="exact"/>
        <w:ind w:firstLine="420"/>
        <w:rPr>
          <w:color w:val="231F20"/>
          <w:sz w:val="24"/>
          <w:szCs w:val="24"/>
        </w:rPr>
      </w:pPr>
      <w:r>
        <w:rPr>
          <w:color w:val="231F20"/>
          <w:sz w:val="24"/>
          <w:szCs w:val="24"/>
        </w:rPr>
        <w:t>土壤普查的数据、图件、文件报告等成果，经国务院批准后，向社会公布，满足社会各界的普查成果资料需求，实现普查成果广泛应用。</w:t>
      </w:r>
    </w:p>
    <w:sectPr w:rsidR="00405F55">
      <w:headerReference w:type="even" r:id="rId18"/>
      <w:headerReference w:type="default" r:id="rId19"/>
      <w:footerReference w:type="even" r:id="rId20"/>
      <w:footerReference w:type="default" r:id="rId21"/>
      <w:headerReference w:type="first" r:id="rId22"/>
      <w:footerReference w:type="first" r:id="rId23"/>
      <w:pgSz w:w="11900" w:h="16840"/>
      <w:pgMar w:top="1436" w:right="1310" w:bottom="1344" w:left="1312" w:header="0" w:footer="34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64B9C" w:rsidRDefault="00264B9C"/>
  </w:endnote>
  <w:endnote w:type="continuationSeparator" w:id="0">
    <w:p w:rsidR="00264B9C" w:rsidRDefault="00264B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ongolian Baiti">
    <w:panose1 w:val="03000500000000000000"/>
    <w:charset w:val="00"/>
    <w:family w:val="script"/>
    <w:pitch w:val="variable"/>
    <w:sig w:usb0="80000023" w:usb1="00000000" w:usb2="0002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05F55" w:rsidRDefault="00000000">
    <w:pPr>
      <w:spacing w:line="1" w:lineRule="exact"/>
    </w:pPr>
    <w:r>
      <w:rPr>
        <w:noProof/>
      </w:rPr>
      <mc:AlternateContent>
        <mc:Choice Requires="wps">
          <w:drawing>
            <wp:anchor distT="0" distB="0" distL="0" distR="0" simplePos="0" relativeHeight="251656192" behindDoc="0" locked="0" layoutInCell="1" allowOverlap="1">
              <wp:simplePos x="0" y="0"/>
              <wp:positionH relativeFrom="margin">
                <wp:align>center</wp:align>
              </wp:positionH>
              <wp:positionV relativeFrom="paragraph">
                <wp:posOffset>0</wp:posOffset>
              </wp:positionV>
              <wp:extent cx="189230" cy="73025"/>
              <wp:effectExtent l="0" t="0" r="0" b="0"/>
              <wp:wrapNone/>
              <wp:docPr id="9" name="Shape 9"/>
              <wp:cNvGraphicFramePr/>
              <a:graphic xmlns:a="http://schemas.openxmlformats.org/drawingml/2006/main">
                <a:graphicData uri="http://schemas.microsoft.com/office/word/2010/wordprocessingShape">
                  <wps:wsp>
                    <wps:cNvSpPr txBox="1"/>
                    <wps:spPr>
                      <a:xfrm>
                        <a:off x="0" y="0"/>
                        <a:ext cx="189230" cy="73025"/>
                      </a:xfrm>
                      <a:prstGeom prst="rect">
                        <a:avLst/>
                      </a:prstGeom>
                      <a:noFill/>
                    </wps:spPr>
                    <wps:txbx>
                      <w:txbxContent>
                        <w:p w:rsidR="00405F55" w:rsidRDefault="00000000">
                          <w:pPr>
                            <w:pStyle w:val="23"/>
                            <w:rPr>
                              <w:sz w:val="15"/>
                              <w:szCs w:val="15"/>
                            </w:rPr>
                          </w:pPr>
                          <w:r>
                            <w:rPr>
                              <w:rFonts w:ascii="宋体" w:eastAsia="宋体" w:hAnsi="宋体" w:cs="宋体"/>
                              <w:sz w:val="15"/>
                              <w:szCs w:val="15"/>
                              <w:lang w:val="en-US" w:eastAsia="en-US" w:bidi="en-US"/>
                            </w:rPr>
                            <w:t xml:space="preserve">• </w:t>
                          </w:r>
                          <w:r>
                            <w:fldChar w:fldCharType="begin"/>
                          </w:r>
                          <w:r>
                            <w:instrText xml:space="preserve"> PAGE \* MERGEFORMAT </w:instrText>
                          </w:r>
                          <w:r>
                            <w:fldChar w:fldCharType="separate"/>
                          </w:r>
                          <w:r>
                            <w:rPr>
                              <w:rFonts w:ascii="宋体" w:eastAsia="宋体" w:hAnsi="宋体" w:cs="宋体"/>
                              <w:sz w:val="15"/>
                              <w:szCs w:val="15"/>
                            </w:rPr>
                            <w:t>#</w:t>
                          </w:r>
                          <w:r>
                            <w:rPr>
                              <w:rFonts w:ascii="宋体" w:eastAsia="宋体" w:hAnsi="宋体" w:cs="宋体"/>
                              <w:sz w:val="15"/>
                              <w:szCs w:val="15"/>
                            </w:rPr>
                            <w:fldChar w:fldCharType="end"/>
                          </w:r>
                          <w:r>
                            <w:rPr>
                              <w:rFonts w:ascii="宋体" w:eastAsia="宋体" w:hAnsi="宋体" w:cs="宋体"/>
                              <w:sz w:val="15"/>
                              <w:szCs w:val="15"/>
                            </w:rPr>
                            <w:t xml:space="preserve"> </w:t>
                          </w:r>
                          <w:r>
                            <w:rPr>
                              <w:rFonts w:ascii="宋体" w:eastAsia="宋体" w:hAnsi="宋体" w:cs="宋体"/>
                              <w:sz w:val="15"/>
                              <w:szCs w:val="15"/>
                              <w:lang w:val="en-US" w:eastAsia="en-US" w:bidi="en-US"/>
                            </w:rPr>
                            <w:t>•</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9" o:spid="_x0000_s1028" type="#_x0000_t202" style="position:absolute;margin-left:0;margin-top:0;width:14.9pt;height:5.75pt;z-index:251656192;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" filled="f" stroked="f">
              <v:textbox style="mso-fit-shape-to-text:t" inset="0,0,0,0">
                <w:txbxContent>
                  <w:p w:rsidR="00405F55" w:rsidRDefault="00000000">
                    <w:pPr>
                      <w:pStyle w:val="23"/>
                      <w:rPr>
                        <w:sz w:val="15"/>
                        <w:szCs w:val="15"/>
                      </w:rPr>
                    </w:pPr>
                    <w:r>
                      <w:rPr>
                        <w:rFonts w:ascii="宋体" w:eastAsia="宋体" w:hAnsi="宋体" w:cs="宋体"/>
                        <w:sz w:val="15"/>
                        <w:szCs w:val="15"/>
                        <w:lang w:val="en-US" w:eastAsia="en-US" w:bidi="en-US"/>
                      </w:rPr>
                      <w:t xml:space="preserve">• </w:t>
                    </w:r>
                    <w:r>
                      <w:fldChar w:fldCharType="begin"/>
                    </w:r>
                    <w:r>
                      <w:instrText xml:space="preserve"> PAGE \* MERGEFORMAT </w:instrText>
                    </w:r>
                    <w:r>
                      <w:fldChar w:fldCharType="separate"/>
                    </w:r>
                    <w:r>
                      <w:rPr>
                        <w:rFonts w:ascii="宋体" w:eastAsia="宋体" w:hAnsi="宋体" w:cs="宋体"/>
                        <w:sz w:val="15"/>
                        <w:szCs w:val="15"/>
                      </w:rPr>
                      <w:t>#</w:t>
                    </w:r>
                    <w:r>
                      <w:rPr>
                        <w:rFonts w:ascii="宋体" w:eastAsia="宋体" w:hAnsi="宋体" w:cs="宋体"/>
                        <w:sz w:val="15"/>
                        <w:szCs w:val="15"/>
                      </w:rPr>
                      <w:fldChar w:fldCharType="end"/>
                    </w:r>
                    <w:r>
                      <w:rPr>
                        <w:rFonts w:ascii="宋体" w:eastAsia="宋体" w:hAnsi="宋体" w:cs="宋体"/>
                        <w:sz w:val="15"/>
                        <w:szCs w:val="15"/>
                      </w:rPr>
                      <w:t xml:space="preserve"> </w:t>
                    </w:r>
                    <w:r>
                      <w:rPr>
                        <w:rFonts w:ascii="宋体" w:eastAsia="宋体" w:hAnsi="宋体" w:cs="宋体"/>
                        <w:sz w:val="15"/>
                        <w:szCs w:val="15"/>
                        <w:lang w:val="en-US" w:eastAsia="en-US" w:bidi="en-US"/>
                      </w:rPr>
                      <w:t>•</w:t>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05F55" w:rsidRDefault="00000000">
    <w:pPr>
      <w:spacing w:line="1" w:lineRule="exact"/>
    </w:pPr>
    <w:r>
      <w:rPr>
        <w:noProof/>
      </w:rPr>
      <mc:AlternateContent>
        <mc:Choice Requires="wps">
          <w:drawing>
            <wp:anchor distT="0" distB="0" distL="0" distR="0" simplePos="0" relativeHeight="251657216" behindDoc="0" locked="0" layoutInCell="1" allowOverlap="1">
              <wp:simplePos x="0" y="0"/>
              <wp:positionH relativeFrom="margin">
                <wp:align>center</wp:align>
              </wp:positionH>
              <wp:positionV relativeFrom="paragraph">
                <wp:posOffset>0</wp:posOffset>
              </wp:positionV>
              <wp:extent cx="189230" cy="76200"/>
              <wp:effectExtent l="0" t="0" r="0" b="0"/>
              <wp:wrapNone/>
              <wp:docPr id="4" name="Shape 4"/>
              <wp:cNvGraphicFramePr/>
              <a:graphic xmlns:a="http://schemas.openxmlformats.org/drawingml/2006/main">
                <a:graphicData uri="http://schemas.microsoft.com/office/word/2010/wordprocessingShape">
                  <wps:wsp>
                    <wps:cNvSpPr txBox="1"/>
                    <wps:spPr>
                      <a:xfrm>
                        <a:off x="0" y="0"/>
                        <a:ext cx="189230" cy="76200"/>
                      </a:xfrm>
                      <a:prstGeom prst="rect">
                        <a:avLst/>
                      </a:prstGeom>
                      <a:noFill/>
                    </wps:spPr>
                    <wps:txbx>
                      <w:txbxContent>
                        <w:p w:rsidR="00405F55" w:rsidRDefault="00000000">
                          <w:pPr>
                            <w:pStyle w:val="23"/>
                            <w:rPr>
                              <w:sz w:val="15"/>
                              <w:szCs w:val="15"/>
                            </w:rPr>
                          </w:pPr>
                          <w:r>
                            <w:rPr>
                              <w:rFonts w:ascii="宋体" w:eastAsia="宋体" w:hAnsi="宋体" w:cs="宋体"/>
                              <w:sz w:val="15"/>
                              <w:szCs w:val="15"/>
                              <w:lang w:val="en-US" w:eastAsia="en-US" w:bidi="en-US"/>
                            </w:rPr>
                            <w:t xml:space="preserve">• </w:t>
                          </w:r>
                          <w:r>
                            <w:fldChar w:fldCharType="begin"/>
                          </w:r>
                          <w:r>
                            <w:instrText xml:space="preserve"> PAGE \* MERGEFORMAT </w:instrText>
                          </w:r>
                          <w:r>
                            <w:fldChar w:fldCharType="separate"/>
                          </w:r>
                          <w:r>
                            <w:rPr>
                              <w:rFonts w:ascii="宋体" w:eastAsia="宋体" w:hAnsi="宋体" w:cs="宋体"/>
                              <w:sz w:val="15"/>
                              <w:szCs w:val="15"/>
                            </w:rPr>
                            <w:t>#</w:t>
                          </w:r>
                          <w:r>
                            <w:rPr>
                              <w:rFonts w:ascii="宋体" w:eastAsia="宋体" w:hAnsi="宋体" w:cs="宋体"/>
                              <w:sz w:val="15"/>
                              <w:szCs w:val="15"/>
                            </w:rPr>
                            <w:fldChar w:fldCharType="end"/>
                          </w:r>
                          <w:r>
                            <w:rPr>
                              <w:rFonts w:ascii="宋体" w:eastAsia="宋体" w:hAnsi="宋体" w:cs="宋体"/>
                              <w:sz w:val="15"/>
                              <w:szCs w:val="15"/>
                            </w:rPr>
                            <w:t xml:space="preserve"> </w:t>
                          </w:r>
                          <w:r>
                            <w:rPr>
                              <w:rFonts w:ascii="宋体" w:eastAsia="宋体" w:hAnsi="宋体" w:cs="宋体"/>
                              <w:sz w:val="15"/>
                              <w:szCs w:val="15"/>
                              <w:lang w:val="en-US" w:eastAsia="en-US" w:bidi="en-US"/>
                            </w:rPr>
                            <w:t>•</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4" o:spid="_x0000_s1029" type="#_x0000_t202" style="position:absolute;margin-left:0;margin-top:0;width:14.9pt;height:6pt;z-index:251657216;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" filled="f" stroked="f">
              <v:textbox style="mso-fit-shape-to-text:t" inset="0,0,0,0">
                <w:txbxContent>
                  <w:p w:rsidR="00405F55" w:rsidRDefault="00000000">
                    <w:pPr>
                      <w:pStyle w:val="23"/>
                      <w:rPr>
                        <w:sz w:val="15"/>
                        <w:szCs w:val="15"/>
                      </w:rPr>
                    </w:pPr>
                    <w:r>
                      <w:rPr>
                        <w:rFonts w:ascii="宋体" w:eastAsia="宋体" w:hAnsi="宋体" w:cs="宋体"/>
                        <w:sz w:val="15"/>
                        <w:szCs w:val="15"/>
                        <w:lang w:val="en-US" w:eastAsia="en-US" w:bidi="en-US"/>
                      </w:rPr>
                      <w:t xml:space="preserve">• </w:t>
                    </w:r>
                    <w:r>
                      <w:fldChar w:fldCharType="begin"/>
                    </w:r>
                    <w:r>
                      <w:instrText xml:space="preserve"> PAGE \* MERGEFORMAT </w:instrText>
                    </w:r>
                    <w:r>
                      <w:fldChar w:fldCharType="separate"/>
                    </w:r>
                    <w:r>
                      <w:rPr>
                        <w:rFonts w:ascii="宋体" w:eastAsia="宋体" w:hAnsi="宋体" w:cs="宋体"/>
                        <w:sz w:val="15"/>
                        <w:szCs w:val="15"/>
                      </w:rPr>
                      <w:t>#</w:t>
                    </w:r>
                    <w:r>
                      <w:rPr>
                        <w:rFonts w:ascii="宋体" w:eastAsia="宋体" w:hAnsi="宋体" w:cs="宋体"/>
                        <w:sz w:val="15"/>
                        <w:szCs w:val="15"/>
                      </w:rPr>
                      <w:fldChar w:fldCharType="end"/>
                    </w:r>
                    <w:r>
                      <w:rPr>
                        <w:rFonts w:ascii="宋体" w:eastAsia="宋体" w:hAnsi="宋体" w:cs="宋体"/>
                        <w:sz w:val="15"/>
                        <w:szCs w:val="15"/>
                      </w:rPr>
                      <w:t xml:space="preserve"> </w:t>
                    </w:r>
                    <w:r>
                      <w:rPr>
                        <w:rFonts w:ascii="宋体" w:eastAsia="宋体" w:hAnsi="宋体" w:cs="宋体"/>
                        <w:sz w:val="15"/>
                        <w:szCs w:val="15"/>
                        <w:lang w:val="en-US" w:eastAsia="en-US" w:bidi="en-US"/>
                      </w:rPr>
                      <w:t>•</w:t>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05F55" w:rsidRDefault="00000000">
    <w:pPr>
      <w:spacing w:line="1" w:lineRule="exact"/>
    </w:pPr>
    <w:r>
      <w:rPr>
        <w:noProof/>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405F55" w:rsidRDefault="00000000">
                          <w:pPr>
                            <w:pStyle w:val="a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30" type="#_x0000_t202" style="position:absolute;margin-left:0;margin-top:0;width:2in;height:2in;z-index:25166438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ppbQQIAAOsEAAAOAAAAZHJzL2Uyb0RvYy54bWysVFGP0zAMfkfiP0R5Z+0Gn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" filled="f" fillcolor="white [3201]" stroked="f" strokeweight=".5pt">
              <v:textbox style="mso-fit-shape-to-text:t" inset="0,0,0,0">
                <w:txbxContent>
                  <w:p w:rsidR="00405F55" w:rsidRDefault="00000000">
                    <w:pPr>
                      <w:pStyle w:val="a3"/>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05F55" w:rsidRDefault="00000000">
    <w:pPr>
      <w:spacing w:line="1" w:lineRule="exact"/>
    </w:pPr>
    <w:r>
      <w:rPr>
        <w:noProof/>
      </w:rPr>
      <mc:AlternateContent>
        <mc:Choice Requires="wps">
          <w:drawing>
            <wp:anchor distT="0" distB="0" distL="0" distR="0" simplePos="0" relativeHeight="251666432" behindDoc="0" locked="0" layoutInCell="1" allowOverlap="1">
              <wp:simplePos x="0" y="0"/>
              <wp:positionH relativeFrom="margin">
                <wp:align>center</wp:align>
              </wp:positionH>
              <wp:positionV relativeFrom="paragraph">
                <wp:posOffset>0</wp:posOffset>
              </wp:positionV>
              <wp:extent cx="189230" cy="73025"/>
              <wp:effectExtent l="0" t="0" r="0" b="0"/>
              <wp:wrapNone/>
              <wp:docPr id="10" name="Shape 9"/>
              <wp:cNvGraphicFramePr/>
              <a:graphic xmlns:a="http://schemas.openxmlformats.org/drawingml/2006/main">
                <a:graphicData uri="http://schemas.microsoft.com/office/word/2010/wordprocessingShape">
                  <wps:wsp>
                    <wps:cNvSpPr txBox="1"/>
                    <wps:spPr>
                      <a:xfrm>
                        <a:off x="0" y="0"/>
                        <a:ext cx="189230" cy="73025"/>
                      </a:xfrm>
                      <a:prstGeom prst="rect">
                        <a:avLst/>
                      </a:prstGeom>
                      <a:noFill/>
                    </wps:spPr>
                    <wps:txbx>
                      <w:txbxContent>
                        <w:p w:rsidR="00405F55" w:rsidRDefault="00000000">
                          <w:pPr>
                            <w:pStyle w:val="23"/>
                            <w:rPr>
                              <w:sz w:val="15"/>
                              <w:szCs w:val="15"/>
                            </w:rPr>
                          </w:pPr>
                          <w:r>
                            <w:rPr>
                              <w:rFonts w:ascii="宋体" w:eastAsia="宋体" w:hAnsi="宋体" w:cs="宋体"/>
                              <w:sz w:val="15"/>
                              <w:szCs w:val="15"/>
                              <w:lang w:val="en-US" w:eastAsia="en-US" w:bidi="en-US"/>
                            </w:rPr>
                            <w:t xml:space="preserve">• </w:t>
                          </w:r>
                          <w:r>
                            <w:fldChar w:fldCharType="begin"/>
                          </w:r>
                          <w:r>
                            <w:instrText xml:space="preserve"> PAGE \* MERGEFORMAT </w:instrText>
                          </w:r>
                          <w:r>
                            <w:fldChar w:fldCharType="separate"/>
                          </w:r>
                          <w:r>
                            <w:rPr>
                              <w:rFonts w:ascii="宋体" w:eastAsia="宋体" w:hAnsi="宋体" w:cs="宋体"/>
                              <w:sz w:val="15"/>
                              <w:szCs w:val="15"/>
                            </w:rPr>
                            <w:t>#</w:t>
                          </w:r>
                          <w:r>
                            <w:rPr>
                              <w:rFonts w:ascii="宋体" w:eastAsia="宋体" w:hAnsi="宋体" w:cs="宋体"/>
                              <w:sz w:val="15"/>
                              <w:szCs w:val="15"/>
                            </w:rPr>
                            <w:fldChar w:fldCharType="end"/>
                          </w:r>
                          <w:r>
                            <w:rPr>
                              <w:rFonts w:ascii="宋体" w:eastAsia="宋体" w:hAnsi="宋体" w:cs="宋体"/>
                              <w:sz w:val="15"/>
                              <w:szCs w:val="15"/>
                            </w:rPr>
                            <w:t xml:space="preserve"> </w:t>
                          </w:r>
                          <w:r>
                            <w:rPr>
                              <w:rFonts w:ascii="宋体" w:eastAsia="宋体" w:hAnsi="宋体" w:cs="宋体"/>
                              <w:sz w:val="15"/>
                              <w:szCs w:val="15"/>
                              <w:lang w:val="en-US" w:eastAsia="en-US" w:bidi="en-US"/>
                            </w:rPr>
                            <w:t>•</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_x0000_s1031" type="#_x0000_t202" style="position:absolute;margin-left:0;margin-top:0;width:14.9pt;height:5.75pt;z-index:251666432;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" filled="f" stroked="f">
              <v:textbox style="mso-fit-shape-to-text:t" inset="0,0,0,0">
                <w:txbxContent>
                  <w:p w:rsidR="00405F55" w:rsidRDefault="00000000">
                    <w:pPr>
                      <w:pStyle w:val="23"/>
                      <w:rPr>
                        <w:sz w:val="15"/>
                        <w:szCs w:val="15"/>
                      </w:rPr>
                    </w:pPr>
                    <w:r>
                      <w:rPr>
                        <w:rFonts w:ascii="宋体" w:eastAsia="宋体" w:hAnsi="宋体" w:cs="宋体"/>
                        <w:sz w:val="15"/>
                        <w:szCs w:val="15"/>
                        <w:lang w:val="en-US" w:eastAsia="en-US" w:bidi="en-US"/>
                      </w:rPr>
                      <w:t xml:space="preserve">• </w:t>
                    </w:r>
                    <w:r>
                      <w:fldChar w:fldCharType="begin"/>
                    </w:r>
                    <w:r>
                      <w:instrText xml:space="preserve"> PAGE \* MERGEFORMAT </w:instrText>
                    </w:r>
                    <w:r>
                      <w:fldChar w:fldCharType="separate"/>
                    </w:r>
                    <w:r>
                      <w:rPr>
                        <w:rFonts w:ascii="宋体" w:eastAsia="宋体" w:hAnsi="宋体" w:cs="宋体"/>
                        <w:sz w:val="15"/>
                        <w:szCs w:val="15"/>
                      </w:rPr>
                      <w:t>#</w:t>
                    </w:r>
                    <w:r>
                      <w:rPr>
                        <w:rFonts w:ascii="宋体" w:eastAsia="宋体" w:hAnsi="宋体" w:cs="宋体"/>
                        <w:sz w:val="15"/>
                        <w:szCs w:val="15"/>
                      </w:rPr>
                      <w:fldChar w:fldCharType="end"/>
                    </w:r>
                    <w:r>
                      <w:rPr>
                        <w:rFonts w:ascii="宋体" w:eastAsia="宋体" w:hAnsi="宋体" w:cs="宋体"/>
                        <w:sz w:val="15"/>
                        <w:szCs w:val="15"/>
                      </w:rPr>
                      <w:t xml:space="preserve"> </w:t>
                    </w:r>
                    <w:r>
                      <w:rPr>
                        <w:rFonts w:ascii="宋体" w:eastAsia="宋体" w:hAnsi="宋体" w:cs="宋体"/>
                        <w:sz w:val="15"/>
                        <w:szCs w:val="15"/>
                        <w:lang w:val="en-US" w:eastAsia="en-US" w:bidi="en-US"/>
                      </w:rPr>
                      <w:t>•</w:t>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05F55" w:rsidRDefault="00000000">
    <w:pPr>
      <w:spacing w:line="1" w:lineRule="exact"/>
    </w:pPr>
    <w:r>
      <w:rPr>
        <w:noProof/>
      </w:rPr>
      <mc:AlternateContent>
        <mc:Choice Requires="wps">
          <w:drawing>
            <wp:anchor distT="0" distB="0" distL="0" distR="0" simplePos="0" relativeHeight="251665408" behindDoc="0" locked="0" layoutInCell="1" allowOverlap="1">
              <wp:simplePos x="0" y="0"/>
              <wp:positionH relativeFrom="margin">
                <wp:posOffset>2823845</wp:posOffset>
              </wp:positionH>
              <wp:positionV relativeFrom="paragraph">
                <wp:posOffset>-10795</wp:posOffset>
              </wp:positionV>
              <wp:extent cx="269875" cy="134620"/>
              <wp:effectExtent l="0" t="0" r="0" b="0"/>
              <wp:wrapNone/>
              <wp:docPr id="7" name="Shape 4"/>
              <wp:cNvGraphicFramePr/>
              <a:graphic xmlns:a="http://schemas.openxmlformats.org/drawingml/2006/main">
                <a:graphicData uri="http://schemas.microsoft.com/office/word/2010/wordprocessingShape">
                  <wps:wsp>
                    <wps:cNvSpPr txBox="1"/>
                    <wps:spPr>
                      <a:xfrm>
                        <a:off x="0" y="0"/>
                        <a:ext cx="269875" cy="134620"/>
                      </a:xfrm>
                      <a:prstGeom prst="rect">
                        <a:avLst/>
                      </a:prstGeom>
                      <a:noFill/>
                    </wps:spPr>
                    <wps:txbx>
                      <w:txbxContent>
                        <w:p w:rsidR="00405F55" w:rsidRDefault="00000000">
                          <w:pPr>
                            <w:pStyle w:val="23"/>
                            <w:rPr>
                              <w:sz w:val="15"/>
                              <w:szCs w:val="15"/>
                            </w:rPr>
                          </w:pPr>
                          <w:r>
                            <w:rPr>
                              <w:rFonts w:ascii="宋体" w:eastAsia="宋体" w:hAnsi="宋体" w:cs="宋体"/>
                              <w:sz w:val="15"/>
                              <w:szCs w:val="15"/>
                              <w:lang w:val="en-US" w:eastAsia="en-US" w:bidi="en-US"/>
                            </w:rPr>
                            <w:t xml:space="preserve">• </w:t>
                          </w:r>
                          <w:r>
                            <w:fldChar w:fldCharType="begin"/>
                          </w:r>
                          <w:r>
                            <w:instrText xml:space="preserve"> PAGE \* MERGEFORMAT </w:instrText>
                          </w:r>
                          <w:r>
                            <w:fldChar w:fldCharType="separate"/>
                          </w:r>
                          <w:r>
                            <w:rPr>
                              <w:rFonts w:ascii="宋体" w:eastAsia="宋体" w:hAnsi="宋体" w:cs="宋体"/>
                              <w:sz w:val="15"/>
                              <w:szCs w:val="15"/>
                            </w:rPr>
                            <w:t>#</w:t>
                          </w:r>
                          <w:r>
                            <w:rPr>
                              <w:rFonts w:ascii="宋体" w:eastAsia="宋体" w:hAnsi="宋体" w:cs="宋体"/>
                              <w:sz w:val="15"/>
                              <w:szCs w:val="15"/>
                            </w:rPr>
                            <w:fldChar w:fldCharType="end"/>
                          </w:r>
                          <w:r>
                            <w:rPr>
                              <w:rFonts w:ascii="宋体" w:eastAsia="宋体" w:hAnsi="宋体" w:cs="宋体"/>
                              <w:sz w:val="15"/>
                              <w:szCs w:val="15"/>
                            </w:rPr>
                            <w:t xml:space="preserve"> </w:t>
                          </w:r>
                          <w:r>
                            <w:rPr>
                              <w:rFonts w:ascii="宋体" w:eastAsia="宋体" w:hAnsi="宋体" w:cs="宋体"/>
                              <w:sz w:val="15"/>
                              <w:szCs w:val="15"/>
                              <w:lang w:val="en-US" w:eastAsia="en-US" w:bidi="en-US"/>
                            </w:rPr>
                            <w:t>•</w:t>
                          </w:r>
                        </w:p>
                      </w:txbxContent>
                    </wps:txbx>
                    <wps:bodyPr wrap="square"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32" type="#_x0000_t202" style="position:absolute;margin-left:222.35pt;margin-top:-.85pt;width:21.25pt;height:10.6pt;z-index:251665408;visibility:visible;mso-wrap-style:square;mso-wrap-distance-left:0;mso-wrap-distance-top:0;mso-wrap-distance-right:0;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" filled="f" stroked="f">
              <v:textbox inset="0,0,0,0">
                <w:txbxContent>
                  <w:p w:rsidR="00405F55" w:rsidRDefault="00000000">
                    <w:pPr>
                      <w:pStyle w:val="23"/>
                      <w:rPr>
                        <w:sz w:val="15"/>
                        <w:szCs w:val="15"/>
                      </w:rPr>
                    </w:pPr>
                    <w:r>
                      <w:rPr>
                        <w:rFonts w:ascii="宋体" w:eastAsia="宋体" w:hAnsi="宋体" w:cs="宋体"/>
                        <w:sz w:val="15"/>
                        <w:szCs w:val="15"/>
                        <w:lang w:val="en-US" w:eastAsia="en-US" w:bidi="en-US"/>
                      </w:rPr>
                      <w:t xml:space="preserve">• </w:t>
                    </w:r>
                    <w:r>
                      <w:fldChar w:fldCharType="begin"/>
                    </w:r>
                    <w:r>
                      <w:instrText xml:space="preserve"> PAGE \* MERGEFORMAT </w:instrText>
                    </w:r>
                    <w:r>
                      <w:fldChar w:fldCharType="separate"/>
                    </w:r>
                    <w:r>
                      <w:rPr>
                        <w:rFonts w:ascii="宋体" w:eastAsia="宋体" w:hAnsi="宋体" w:cs="宋体"/>
                        <w:sz w:val="15"/>
                        <w:szCs w:val="15"/>
                      </w:rPr>
                      <w:t>#</w:t>
                    </w:r>
                    <w:r>
                      <w:rPr>
                        <w:rFonts w:ascii="宋体" w:eastAsia="宋体" w:hAnsi="宋体" w:cs="宋体"/>
                        <w:sz w:val="15"/>
                        <w:szCs w:val="15"/>
                      </w:rPr>
                      <w:fldChar w:fldCharType="end"/>
                    </w:r>
                    <w:r>
                      <w:rPr>
                        <w:rFonts w:ascii="宋体" w:eastAsia="宋体" w:hAnsi="宋体" w:cs="宋体"/>
                        <w:sz w:val="15"/>
                        <w:szCs w:val="15"/>
                      </w:rPr>
                      <w:t xml:space="preserve"> </w:t>
                    </w:r>
                    <w:r>
                      <w:rPr>
                        <w:rFonts w:ascii="宋体" w:eastAsia="宋体" w:hAnsi="宋体" w:cs="宋体"/>
                        <w:sz w:val="15"/>
                        <w:szCs w:val="15"/>
                        <w:lang w:val="en-US" w:eastAsia="en-US" w:bidi="en-US"/>
                      </w:rPr>
                      <w:t>•</w:t>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05F55" w:rsidRDefault="00000000">
    <w:pPr>
      <w:spacing w:line="1" w:lineRule="exact"/>
    </w:pPr>
    <w:r>
      <w:rPr>
        <w:noProof/>
      </w:rPr>
      <mc:AlternateContent>
        <mc:Choice Requires="wps">
          <w:drawing>
            <wp:anchor distT="0" distB="0" distL="0" distR="0" simplePos="0" relativeHeight="251660288" behindDoc="0" locked="0" layoutInCell="1" allowOverlap="1">
              <wp:simplePos x="0" y="0"/>
              <wp:positionH relativeFrom="margin">
                <wp:align>center</wp:align>
              </wp:positionH>
              <wp:positionV relativeFrom="paragraph">
                <wp:posOffset>0</wp:posOffset>
              </wp:positionV>
              <wp:extent cx="243840" cy="73025"/>
              <wp:effectExtent l="0" t="0" r="0" b="0"/>
              <wp:wrapNone/>
              <wp:docPr id="88" name="Shape 88"/>
              <wp:cNvGraphicFramePr/>
              <a:graphic xmlns:a="http://schemas.openxmlformats.org/drawingml/2006/main">
                <a:graphicData uri="http://schemas.microsoft.com/office/word/2010/wordprocessingShape">
                  <wps:wsp>
                    <wps:cNvSpPr txBox="1"/>
                    <wps:spPr>
                      <a:xfrm>
                        <a:off x="0" y="0"/>
                        <a:ext cx="243840" cy="73025"/>
                      </a:xfrm>
                      <a:prstGeom prst="rect">
                        <a:avLst/>
                      </a:prstGeom>
                      <a:noFill/>
                    </wps:spPr>
                    <wps:txbx>
                      <w:txbxContent>
                        <w:p w:rsidR="00405F55" w:rsidRDefault="00000000">
                          <w:pPr>
                            <w:pStyle w:val="23"/>
                            <w:rPr>
                              <w:sz w:val="15"/>
                              <w:szCs w:val="15"/>
                            </w:rPr>
                          </w:pPr>
                          <w:r>
                            <w:rPr>
                              <w:rFonts w:ascii="宋体" w:eastAsia="宋体" w:hAnsi="宋体" w:cs="宋体"/>
                              <w:sz w:val="15"/>
                              <w:szCs w:val="15"/>
                              <w:lang w:val="en-US" w:eastAsia="en-US" w:bidi="en-US"/>
                            </w:rPr>
                            <w:t xml:space="preserve">- </w:t>
                          </w:r>
                          <w:r>
                            <w:fldChar w:fldCharType="begin"/>
                          </w:r>
                          <w:r>
                            <w:instrText xml:space="preserve"> PAGE \* MERGEFORMAT </w:instrText>
                          </w:r>
                          <w:r>
                            <w:fldChar w:fldCharType="separate"/>
                          </w:r>
                          <w:r>
                            <w:rPr>
                              <w:rFonts w:ascii="宋体" w:eastAsia="宋体" w:hAnsi="宋体" w:cs="宋体"/>
                              <w:sz w:val="15"/>
                              <w:szCs w:val="15"/>
                            </w:rPr>
                            <w:t>#</w:t>
                          </w:r>
                          <w:r>
                            <w:rPr>
                              <w:rFonts w:ascii="宋体" w:eastAsia="宋体" w:hAnsi="宋体" w:cs="宋体"/>
                              <w:sz w:val="15"/>
                              <w:szCs w:val="15"/>
                            </w:rPr>
                            <w:fldChar w:fldCharType="end"/>
                          </w:r>
                          <w:r>
                            <w:rPr>
                              <w:rFonts w:ascii="宋体" w:eastAsia="宋体" w:hAnsi="宋体" w:cs="宋体"/>
                              <w:sz w:val="15"/>
                              <w:szCs w:val="15"/>
                            </w:rPr>
                            <w:t xml:space="preserve"> </w:t>
                          </w:r>
                          <w:r>
                            <w:rPr>
                              <w:rFonts w:ascii="宋体" w:eastAsia="宋体" w:hAnsi="宋体" w:cs="宋体"/>
                              <w:sz w:val="15"/>
                              <w:szCs w:val="15"/>
                              <w:lang w:val="en-US" w:eastAsia="en-US" w:bidi="en-US"/>
                            </w:rPr>
                            <w:t>•</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88" o:spid="_x0000_s1035" type="#_x0000_t202" style="position:absolute;margin-left:0;margin-top:0;width:19.2pt;height:5.75pt;z-index:251660288;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" filled="f" stroked="f">
              <v:textbox style="mso-fit-shape-to-text:t" inset="0,0,0,0">
                <w:txbxContent>
                  <w:p w:rsidR="00405F55" w:rsidRDefault="00000000">
                    <w:pPr>
                      <w:pStyle w:val="23"/>
                      <w:rPr>
                        <w:sz w:val="15"/>
                        <w:szCs w:val="15"/>
                      </w:rPr>
                    </w:pPr>
                    <w:r>
                      <w:rPr>
                        <w:rFonts w:ascii="宋体" w:eastAsia="宋体" w:hAnsi="宋体" w:cs="宋体"/>
                        <w:sz w:val="15"/>
                        <w:szCs w:val="15"/>
                        <w:lang w:val="en-US" w:eastAsia="en-US" w:bidi="en-US"/>
                      </w:rPr>
                      <w:t xml:space="preserve">- </w:t>
                    </w:r>
                    <w:r>
                      <w:fldChar w:fldCharType="begin"/>
                    </w:r>
                    <w:r>
                      <w:instrText xml:space="preserve"> PAGE \* MERGEFORMAT </w:instrText>
                    </w:r>
                    <w:r>
                      <w:fldChar w:fldCharType="separate"/>
                    </w:r>
                    <w:r>
                      <w:rPr>
                        <w:rFonts w:ascii="宋体" w:eastAsia="宋体" w:hAnsi="宋体" w:cs="宋体"/>
                        <w:sz w:val="15"/>
                        <w:szCs w:val="15"/>
                      </w:rPr>
                      <w:t>#</w:t>
                    </w:r>
                    <w:r>
                      <w:rPr>
                        <w:rFonts w:ascii="宋体" w:eastAsia="宋体" w:hAnsi="宋体" w:cs="宋体"/>
                        <w:sz w:val="15"/>
                        <w:szCs w:val="15"/>
                      </w:rPr>
                      <w:fldChar w:fldCharType="end"/>
                    </w:r>
                    <w:r>
                      <w:rPr>
                        <w:rFonts w:ascii="宋体" w:eastAsia="宋体" w:hAnsi="宋体" w:cs="宋体"/>
                        <w:sz w:val="15"/>
                        <w:szCs w:val="15"/>
                      </w:rPr>
                      <w:t xml:space="preserve"> </w:t>
                    </w:r>
                    <w:r>
                      <w:rPr>
                        <w:rFonts w:ascii="宋体" w:eastAsia="宋体" w:hAnsi="宋体" w:cs="宋体"/>
                        <w:sz w:val="15"/>
                        <w:szCs w:val="15"/>
                        <w:lang w:val="en-US" w:eastAsia="en-US" w:bidi="en-US"/>
                      </w:rPr>
                      <w:t>•</w:t>
                    </w:r>
                  </w:p>
                </w:txbxContent>
              </v:textbox>
              <w10:wrap anchorx="margin"/>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05F55" w:rsidRDefault="00000000">
    <w:pPr>
      <w:spacing w:line="1" w:lineRule="exact"/>
    </w:pPr>
    <w:r>
      <w:rPr>
        <w:noProof/>
      </w:rPr>
      <mc:AlternateContent>
        <mc:Choice Requires="wps">
          <w:drawing>
            <wp:anchor distT="0" distB="0" distL="0" distR="0" simplePos="0" relativeHeight="251661312" behindDoc="0" locked="0" layoutInCell="1" allowOverlap="1">
              <wp:simplePos x="0" y="0"/>
              <wp:positionH relativeFrom="margin">
                <wp:align>center</wp:align>
              </wp:positionH>
              <wp:positionV relativeFrom="paragraph">
                <wp:posOffset>0</wp:posOffset>
              </wp:positionV>
              <wp:extent cx="243840" cy="73025"/>
              <wp:effectExtent l="0" t="0" r="0" b="0"/>
              <wp:wrapNone/>
              <wp:docPr id="83" name="Shape 83"/>
              <wp:cNvGraphicFramePr/>
              <a:graphic xmlns:a="http://schemas.openxmlformats.org/drawingml/2006/main">
                <a:graphicData uri="http://schemas.microsoft.com/office/word/2010/wordprocessingShape">
                  <wps:wsp>
                    <wps:cNvSpPr txBox="1"/>
                    <wps:spPr>
                      <a:xfrm>
                        <a:off x="0" y="0"/>
                        <a:ext cx="243840" cy="73025"/>
                      </a:xfrm>
                      <a:prstGeom prst="rect">
                        <a:avLst/>
                      </a:prstGeom>
                      <a:noFill/>
                    </wps:spPr>
                    <wps:txbx>
                      <w:txbxContent>
                        <w:p w:rsidR="00405F55" w:rsidRDefault="00000000">
                          <w:pPr>
                            <w:pStyle w:val="23"/>
                            <w:rPr>
                              <w:sz w:val="15"/>
                              <w:szCs w:val="15"/>
                            </w:rPr>
                          </w:pPr>
                          <w:r>
                            <w:rPr>
                              <w:rFonts w:ascii="宋体" w:eastAsia="宋体" w:hAnsi="宋体" w:cs="宋体"/>
                              <w:sz w:val="15"/>
                              <w:szCs w:val="15"/>
                              <w:lang w:val="en-US" w:eastAsia="en-US" w:bidi="en-US"/>
                            </w:rPr>
                            <w:t xml:space="preserve">- </w:t>
                          </w:r>
                          <w:r>
                            <w:fldChar w:fldCharType="begin"/>
                          </w:r>
                          <w:r>
                            <w:instrText xml:space="preserve"> PAGE \* MERGEFORMAT </w:instrText>
                          </w:r>
                          <w:r>
                            <w:fldChar w:fldCharType="separate"/>
                          </w:r>
                          <w:r>
                            <w:rPr>
                              <w:rFonts w:ascii="宋体" w:eastAsia="宋体" w:hAnsi="宋体" w:cs="宋体"/>
                              <w:sz w:val="15"/>
                              <w:szCs w:val="15"/>
                            </w:rPr>
                            <w:t>#</w:t>
                          </w:r>
                          <w:r>
                            <w:rPr>
                              <w:rFonts w:ascii="宋体" w:eastAsia="宋体" w:hAnsi="宋体" w:cs="宋体"/>
                              <w:sz w:val="15"/>
                              <w:szCs w:val="15"/>
                            </w:rPr>
                            <w:fldChar w:fldCharType="end"/>
                          </w:r>
                          <w:r>
                            <w:rPr>
                              <w:rFonts w:ascii="宋体" w:eastAsia="宋体" w:hAnsi="宋体" w:cs="宋体"/>
                              <w:sz w:val="15"/>
                              <w:szCs w:val="15"/>
                            </w:rPr>
                            <w:t xml:space="preserve"> </w:t>
                          </w:r>
                          <w:r>
                            <w:rPr>
                              <w:rFonts w:ascii="宋体" w:eastAsia="宋体" w:hAnsi="宋体" w:cs="宋体"/>
                              <w:sz w:val="15"/>
                              <w:szCs w:val="15"/>
                              <w:lang w:val="en-US" w:eastAsia="en-US" w:bidi="en-US"/>
                            </w:rPr>
                            <w:t>•</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83" o:spid="_x0000_s1036" type="#_x0000_t202" style="position:absolute;margin-left:0;margin-top:0;width:19.2pt;height:5.75pt;z-index:251661312;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" filled="f" stroked="f">
              <v:textbox style="mso-fit-shape-to-text:t" inset="0,0,0,0">
                <w:txbxContent>
                  <w:p w:rsidR="00405F55" w:rsidRDefault="00000000">
                    <w:pPr>
                      <w:pStyle w:val="23"/>
                      <w:rPr>
                        <w:sz w:val="15"/>
                        <w:szCs w:val="15"/>
                      </w:rPr>
                    </w:pPr>
                    <w:r>
                      <w:rPr>
                        <w:rFonts w:ascii="宋体" w:eastAsia="宋体" w:hAnsi="宋体" w:cs="宋体"/>
                        <w:sz w:val="15"/>
                        <w:szCs w:val="15"/>
                        <w:lang w:val="en-US" w:eastAsia="en-US" w:bidi="en-US"/>
                      </w:rPr>
                      <w:t xml:space="preserve">- </w:t>
                    </w:r>
                    <w:r>
                      <w:fldChar w:fldCharType="begin"/>
                    </w:r>
                    <w:r>
                      <w:instrText xml:space="preserve"> PAGE \* MERGEFORMAT </w:instrText>
                    </w:r>
                    <w:r>
                      <w:fldChar w:fldCharType="separate"/>
                    </w:r>
                    <w:r>
                      <w:rPr>
                        <w:rFonts w:ascii="宋体" w:eastAsia="宋体" w:hAnsi="宋体" w:cs="宋体"/>
                        <w:sz w:val="15"/>
                        <w:szCs w:val="15"/>
                      </w:rPr>
                      <w:t>#</w:t>
                    </w:r>
                    <w:r>
                      <w:rPr>
                        <w:rFonts w:ascii="宋体" w:eastAsia="宋体" w:hAnsi="宋体" w:cs="宋体"/>
                        <w:sz w:val="15"/>
                        <w:szCs w:val="15"/>
                      </w:rPr>
                      <w:fldChar w:fldCharType="end"/>
                    </w:r>
                    <w:r>
                      <w:rPr>
                        <w:rFonts w:ascii="宋体" w:eastAsia="宋体" w:hAnsi="宋体" w:cs="宋体"/>
                        <w:sz w:val="15"/>
                        <w:szCs w:val="15"/>
                      </w:rPr>
                      <w:t xml:space="preserve"> </w:t>
                    </w:r>
                    <w:r>
                      <w:rPr>
                        <w:rFonts w:ascii="宋体" w:eastAsia="宋体" w:hAnsi="宋体" w:cs="宋体"/>
                        <w:sz w:val="15"/>
                        <w:szCs w:val="15"/>
                        <w:lang w:val="en-US" w:eastAsia="en-US" w:bidi="en-US"/>
                      </w:rPr>
                      <w:t>•</w:t>
                    </w:r>
                  </w:p>
                </w:txbxContent>
              </v:textbox>
              <w10:wrap anchorx="margin"/>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05F55" w:rsidRDefault="00000000">
    <w:pPr>
      <w:spacing w:line="1" w:lineRule="exact"/>
    </w:pPr>
    <w:r>
      <w:rPr>
        <w:noProof/>
      </w:rPr>
      <mc:AlternateContent>
        <mc:Choice Requires="wps">
          <w:drawing>
            <wp:anchor distT="0" distB="0" distL="0" distR="0" simplePos="0" relativeHeight="251663360" behindDoc="0" locked="0" layoutInCell="1" allowOverlap="1">
              <wp:simplePos x="0" y="0"/>
              <wp:positionH relativeFrom="margin">
                <wp:align>center</wp:align>
              </wp:positionH>
              <wp:positionV relativeFrom="paragraph">
                <wp:posOffset>0</wp:posOffset>
              </wp:positionV>
              <wp:extent cx="396875" cy="304165"/>
              <wp:effectExtent l="0" t="0" r="0" b="0"/>
              <wp:wrapNone/>
              <wp:docPr id="93" name="Shape 93"/>
              <wp:cNvGraphicFramePr/>
              <a:graphic xmlns:a="http://schemas.openxmlformats.org/drawingml/2006/main">
                <a:graphicData uri="http://schemas.microsoft.com/office/word/2010/wordprocessingShape">
                  <wps:wsp>
                    <wps:cNvSpPr txBox="1"/>
                    <wps:spPr>
                      <a:xfrm>
                        <a:off x="0" y="0"/>
                        <a:ext cx="396875" cy="304165"/>
                      </a:xfrm>
                      <a:prstGeom prst="rect">
                        <a:avLst/>
                      </a:prstGeom>
                      <a:noFill/>
                    </wps:spPr>
                    <wps:txbx>
                      <w:txbxContent>
                        <w:p w:rsidR="00405F55" w:rsidRDefault="00000000">
                          <w:pPr>
                            <w:pStyle w:val="23"/>
                            <w:rPr>
                              <w:sz w:val="15"/>
                              <w:szCs w:val="15"/>
                            </w:rPr>
                          </w:pPr>
                          <w:r>
                            <w:rPr>
                              <w:rFonts w:ascii="宋体" w:eastAsia="宋体" w:hAnsi="宋体" w:cs="宋体"/>
                              <w:sz w:val="15"/>
                              <w:szCs w:val="15"/>
                              <w:lang w:val="en-US" w:eastAsia="en-US" w:bidi="en-US"/>
                            </w:rPr>
                            <w:t xml:space="preserve">- </w:t>
                          </w:r>
                          <w:r>
                            <w:fldChar w:fldCharType="begin"/>
                          </w:r>
                          <w:r>
                            <w:instrText xml:space="preserve"> PAGE \* MERGEFORMAT </w:instrText>
                          </w:r>
                          <w:r>
                            <w:fldChar w:fldCharType="separate"/>
                          </w:r>
                          <w:r>
                            <w:rPr>
                              <w:rFonts w:ascii="宋体" w:eastAsia="宋体" w:hAnsi="宋体" w:cs="宋体"/>
                              <w:sz w:val="15"/>
                              <w:szCs w:val="15"/>
                            </w:rPr>
                            <w:t>#</w:t>
                          </w:r>
                          <w:r>
                            <w:rPr>
                              <w:rFonts w:ascii="宋体" w:eastAsia="宋体" w:hAnsi="宋体" w:cs="宋体"/>
                              <w:sz w:val="15"/>
                              <w:szCs w:val="15"/>
                            </w:rPr>
                            <w:fldChar w:fldCharType="end"/>
                          </w:r>
                          <w:r>
                            <w:rPr>
                              <w:rFonts w:ascii="宋体" w:eastAsia="宋体" w:hAnsi="宋体" w:cs="宋体"/>
                              <w:sz w:val="15"/>
                              <w:szCs w:val="15"/>
                            </w:rPr>
                            <w:t xml:space="preserve"> </w:t>
                          </w:r>
                          <w:r>
                            <w:rPr>
                              <w:rFonts w:ascii="宋体" w:eastAsia="宋体" w:hAnsi="宋体" w:cs="宋体"/>
                              <w:sz w:val="15"/>
                              <w:szCs w:val="15"/>
                              <w:lang w:val="en-US" w:eastAsia="en-US" w:bidi="en-US"/>
                            </w:rPr>
                            <w:t>•</w:t>
                          </w:r>
                        </w:p>
                      </w:txbxContent>
                    </wps:txbx>
                    <wps:bodyPr wrap="square"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Shape 93" o:spid="_x0000_s1038" type="#_x0000_t202" style="position:absolute;margin-left:0;margin-top:0;width:31.25pt;height:23.95pt;z-index:25166336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" filled="f" stroked="f">
              <v:textbox inset="0,0,0,0">
                <w:txbxContent>
                  <w:p w:rsidR="00405F55" w:rsidRDefault="00000000">
                    <w:pPr>
                      <w:pStyle w:val="23"/>
                      <w:rPr>
                        <w:sz w:val="15"/>
                        <w:szCs w:val="15"/>
                      </w:rPr>
                    </w:pPr>
                    <w:r>
                      <w:rPr>
                        <w:rFonts w:ascii="宋体" w:eastAsia="宋体" w:hAnsi="宋体" w:cs="宋体"/>
                        <w:sz w:val="15"/>
                        <w:szCs w:val="15"/>
                        <w:lang w:val="en-US" w:eastAsia="en-US" w:bidi="en-US"/>
                      </w:rPr>
                      <w:t xml:space="preserve">- </w:t>
                    </w:r>
                    <w:r>
                      <w:fldChar w:fldCharType="begin"/>
                    </w:r>
                    <w:r>
                      <w:instrText xml:space="preserve"> PAGE \* MERGEFORMAT </w:instrText>
                    </w:r>
                    <w:r>
                      <w:fldChar w:fldCharType="separate"/>
                    </w:r>
                    <w:r>
                      <w:rPr>
                        <w:rFonts w:ascii="宋体" w:eastAsia="宋体" w:hAnsi="宋体" w:cs="宋体"/>
                        <w:sz w:val="15"/>
                        <w:szCs w:val="15"/>
                      </w:rPr>
                      <w:t>#</w:t>
                    </w:r>
                    <w:r>
                      <w:rPr>
                        <w:rFonts w:ascii="宋体" w:eastAsia="宋体" w:hAnsi="宋体" w:cs="宋体"/>
                        <w:sz w:val="15"/>
                        <w:szCs w:val="15"/>
                      </w:rPr>
                      <w:fldChar w:fldCharType="end"/>
                    </w:r>
                    <w:r>
                      <w:rPr>
                        <w:rFonts w:ascii="宋体" w:eastAsia="宋体" w:hAnsi="宋体" w:cs="宋体"/>
                        <w:sz w:val="15"/>
                        <w:szCs w:val="15"/>
                      </w:rPr>
                      <w:t xml:space="preserve"> </w:t>
                    </w:r>
                    <w:r>
                      <w:rPr>
                        <w:rFonts w:ascii="宋体" w:eastAsia="宋体" w:hAnsi="宋体" w:cs="宋体"/>
                        <w:sz w:val="15"/>
                        <w:szCs w:val="15"/>
                        <w:lang w:val="en-US" w:eastAsia="en-US" w:bidi="en-US"/>
                      </w:rPr>
                      <w:t>•</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64B9C" w:rsidRDefault="00264B9C"/>
  </w:footnote>
  <w:footnote w:type="continuationSeparator" w:id="0">
    <w:p w:rsidR="00264B9C" w:rsidRDefault="00264B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05F55" w:rsidRDefault="00000000">
    <w:pPr>
      <w:spacing w:line="1" w:lineRule="exact"/>
    </w:pPr>
    <w:r>
      <w:rPr>
        <w:noProof/>
      </w:rPr>
      <mc:AlternateContent>
        <mc:Choice Requires="wps">
          <w:drawing>
            <wp:anchor distT="0" distB="0" distL="0" distR="0" simplePos="0" relativeHeight="251654144" behindDoc="1" locked="0" layoutInCell="1" allowOverlap="1">
              <wp:simplePos x="0" y="0"/>
              <wp:positionH relativeFrom="page">
                <wp:posOffset>860425</wp:posOffset>
              </wp:positionH>
              <wp:positionV relativeFrom="page">
                <wp:posOffset>598170</wp:posOffset>
              </wp:positionV>
              <wp:extent cx="1685290" cy="103505"/>
              <wp:effectExtent l="0" t="0" r="0" b="0"/>
              <wp:wrapNone/>
              <wp:docPr id="6" name="Shape 6"/>
              <wp:cNvGraphicFramePr/>
              <a:graphic xmlns:a="http://schemas.openxmlformats.org/drawingml/2006/main">
                <a:graphicData uri="http://schemas.microsoft.com/office/word/2010/wordprocessingShape">
                  <wps:wsp>
                    <wps:cNvSpPr txBox="1"/>
                    <wps:spPr>
                      <a:xfrm>
                        <a:off x="0" y="0"/>
                        <a:ext cx="1685290" cy="103505"/>
                      </a:xfrm>
                      <a:prstGeom prst="rect">
                        <a:avLst/>
                      </a:prstGeom>
                      <a:noFill/>
                    </wps:spPr>
                    <wps:txbx>
                      <w:txbxContent>
                        <w:p w:rsidR="00405F55" w:rsidRDefault="00000000">
                          <w:pPr>
                            <w:pStyle w:val="23"/>
                            <w:rPr>
                              <w:sz w:val="17"/>
                              <w:szCs w:val="17"/>
                            </w:rPr>
                          </w:pPr>
                          <w:r>
                            <w:rPr>
                              <w:rFonts w:ascii="黑体" w:eastAsia="黑体" w:hAnsi="黑体" w:cs="黑体"/>
                              <w:sz w:val="17"/>
                              <w:szCs w:val="17"/>
                            </w:rPr>
                            <w:t>第三次全国土壤普查技术规程规范</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6" o:spid="_x0000_s1026" type="#_x0000_t202" style="position:absolute;margin-left:67.75pt;margin-top:47.1pt;width:132.7pt;height:8.15pt;z-index:-25166233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" filled="f" stroked="f">
              <v:textbox style="mso-fit-shape-to-text:t" inset="0,0,0,0">
                <w:txbxContent>
                  <w:p w:rsidR="00405F55" w:rsidRDefault="00000000">
                    <w:pPr>
                      <w:pStyle w:val="23"/>
                      <w:rPr>
                        <w:sz w:val="17"/>
                        <w:szCs w:val="17"/>
                      </w:rPr>
                    </w:pPr>
                    <w:r>
                      <w:rPr>
                        <w:rFonts w:ascii="黑体" w:eastAsia="黑体" w:hAnsi="黑体" w:cs="黑体"/>
                        <w:sz w:val="17"/>
                        <w:szCs w:val="17"/>
                      </w:rPr>
                      <w:t>第三次全国土壤普查技术规程规范</w:t>
                    </w:r>
                  </w:p>
                </w:txbxContent>
              </v:textbox>
              <w10:wrap anchorx="page" anchory="page"/>
            </v:shape>
          </w:pict>
        </mc:Fallback>
      </mc:AlternateContent>
    </w:r>
    <w:r>
      <w:rPr>
        <w:noProof/>
      </w:rPr>
      <mc:AlternateContent>
        <mc:Choice Requires="wps">
          <w:drawing>
            <wp:anchor distT="0" distB="0" distL="114300" distR="114300" simplePos="0" relativeHeight="251649024" behindDoc="1" locked="0" layoutInCell="1" allowOverlap="1">
              <wp:simplePos x="0" y="0"/>
              <wp:positionH relativeFrom="page">
                <wp:posOffset>850900</wp:posOffset>
              </wp:positionH>
              <wp:positionV relativeFrom="page">
                <wp:posOffset>743585</wp:posOffset>
              </wp:positionV>
              <wp:extent cx="5858510" cy="0"/>
              <wp:effectExtent l="0" t="0" r="0" b="0"/>
              <wp:wrapNone/>
              <wp:docPr id="8" name="Shape 8"/>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w:pict>
            <v:shapetype w14:anchorId="2F31D094" id="_x0000_t32" coordsize="21600,21600" o:spt="32" o:oned="t" path="m,l21600,21600e" filled="f">
              <v:path arrowok="t" fillok="f" o:connecttype="none"/>
              <o:lock v:ext="edit" shapetype="t"/>
            </v:shapetype>
            <v:shape id="Shape 8" o:spid="_x0000_s1026" type="#_x0000_t32" style="position:absolute;left:0;text-align:left;margin-left:67pt;margin-top:58.55pt;width:461.3pt;height:0;z-index:-251667456;visibility:visible;mso-wrap-style:square;mso-wrap-distance-left:9pt;mso-wrap-distance-top:0;mso-wrap-distance-right:9pt;mso-wrap-distance-bottom:0;mso-position-horizontal:absolute;mso-position-horizontal-relative:page;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" strokecolor="white" strokeweight="1pt">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05F55" w:rsidRDefault="00000000">
    <w:pPr>
      <w:spacing w:line="1" w:lineRule="exact"/>
    </w:pPr>
    <w:r>
      <w:rPr>
        <w:noProof/>
      </w:rPr>
      <mc:AlternateContent>
        <mc:Choice Requires="wps">
          <w:drawing>
            <wp:anchor distT="0" distB="0" distL="0" distR="0" simplePos="0" relativeHeight="251655168" behindDoc="1" locked="0" layoutInCell="1" allowOverlap="1">
              <wp:simplePos x="0" y="0"/>
              <wp:positionH relativeFrom="page">
                <wp:posOffset>4708525</wp:posOffset>
              </wp:positionH>
              <wp:positionV relativeFrom="page">
                <wp:posOffset>598170</wp:posOffset>
              </wp:positionV>
              <wp:extent cx="1972310" cy="113030"/>
              <wp:effectExtent l="0" t="0" r="0" b="0"/>
              <wp:wrapNone/>
              <wp:docPr id="1" name="Shape 1"/>
              <wp:cNvGraphicFramePr/>
              <a:graphic xmlns:a="http://schemas.openxmlformats.org/drawingml/2006/main">
                <a:graphicData uri="http://schemas.microsoft.com/office/word/2010/wordprocessingShape">
                  <wps:wsp>
                    <wps:cNvSpPr txBox="1"/>
                    <wps:spPr>
                      <a:xfrm>
                        <a:off x="0" y="0"/>
                        <a:ext cx="1972310" cy="113030"/>
                      </a:xfrm>
                      <a:prstGeom prst="rect">
                        <a:avLst/>
                      </a:prstGeom>
                      <a:noFill/>
                    </wps:spPr>
                    <wps:txbx>
                      <w:txbxContent>
                        <w:p w:rsidR="00405F55" w:rsidRDefault="00000000">
                          <w:pPr>
                            <w:pStyle w:val="23"/>
                            <w:rPr>
                              <w:sz w:val="17"/>
                              <w:szCs w:val="17"/>
                            </w:rPr>
                          </w:pPr>
                          <w:r>
                            <w:rPr>
                              <w:rFonts w:ascii="黑体" w:eastAsia="黑体" w:hAnsi="黑体" w:cs="黑体"/>
                              <w:sz w:val="17"/>
                              <w:szCs w:val="17"/>
                            </w:rPr>
                            <w:t xml:space="preserve">第三次全国土壤普查技术规程 </w:t>
                          </w:r>
                          <w:r>
                            <w:rPr>
                              <w:rFonts w:ascii="宋体" w:eastAsia="宋体" w:hAnsi="宋体" w:cs="宋体"/>
                              <w:sz w:val="17"/>
                              <w:szCs w:val="17"/>
                            </w:rPr>
                            <w:t>（</w:t>
                          </w:r>
                          <w:r>
                            <w:rPr>
                              <w:rFonts w:ascii="黑体" w:eastAsia="黑体" w:hAnsi="黑体" w:cs="黑体"/>
                              <w:sz w:val="17"/>
                              <w:szCs w:val="17"/>
                            </w:rPr>
                            <w:t>修订版</w:t>
                          </w:r>
                          <w:r>
                            <w:rPr>
                              <w:rFonts w:ascii="宋体" w:eastAsia="宋体" w:hAnsi="宋体" w:cs="宋体"/>
                              <w:sz w:val="17"/>
                              <w:szCs w:val="17"/>
                            </w:rPr>
                            <w:t>）</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 o:spid="_x0000_s1027" type="#_x0000_t202" style="position:absolute;margin-left:370.75pt;margin-top:47.1pt;width:155.3pt;height:8.9pt;z-index:-25166131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" filled="f" stroked="f">
              <v:textbox style="mso-fit-shape-to-text:t" inset="0,0,0,0">
                <w:txbxContent>
                  <w:p w:rsidR="00405F55" w:rsidRDefault="00000000">
                    <w:pPr>
                      <w:pStyle w:val="23"/>
                      <w:rPr>
                        <w:sz w:val="17"/>
                        <w:szCs w:val="17"/>
                      </w:rPr>
                    </w:pPr>
                    <w:r>
                      <w:rPr>
                        <w:rFonts w:ascii="黑体" w:eastAsia="黑体" w:hAnsi="黑体" w:cs="黑体"/>
                        <w:sz w:val="17"/>
                        <w:szCs w:val="17"/>
                      </w:rPr>
                      <w:t xml:space="preserve">第三次全国土壤普查技术规程 </w:t>
                    </w:r>
                    <w:r>
                      <w:rPr>
                        <w:rFonts w:ascii="宋体" w:eastAsia="宋体" w:hAnsi="宋体" w:cs="宋体"/>
                        <w:sz w:val="17"/>
                        <w:szCs w:val="17"/>
                      </w:rPr>
                      <w:t>（</w:t>
                    </w:r>
                    <w:r>
                      <w:rPr>
                        <w:rFonts w:ascii="黑体" w:eastAsia="黑体" w:hAnsi="黑体" w:cs="黑体"/>
                        <w:sz w:val="17"/>
                        <w:szCs w:val="17"/>
                      </w:rPr>
                      <w:t>修订版</w:t>
                    </w:r>
                    <w:r>
                      <w:rPr>
                        <w:rFonts w:ascii="宋体" w:eastAsia="宋体" w:hAnsi="宋体" w:cs="宋体"/>
                        <w:sz w:val="17"/>
                        <w:szCs w:val="17"/>
                      </w:rPr>
                      <w:t>）</w:t>
                    </w:r>
                  </w:p>
                </w:txbxContent>
              </v:textbox>
              <w10:wrap anchorx="page" anchory="page"/>
            </v:shape>
          </w:pict>
        </mc:Fallback>
      </mc:AlternateContent>
    </w:r>
    <w:r>
      <w:rPr>
        <w:noProof/>
      </w:rPr>
      <mc:AlternateContent>
        <mc:Choice Requires="wps">
          <w:drawing>
            <wp:anchor distT="0" distB="0" distL="114300" distR="114300" simplePos="0" relativeHeight="251650048" behindDoc="1" locked="0" layoutInCell="1" allowOverlap="1">
              <wp:simplePos x="0" y="0"/>
              <wp:positionH relativeFrom="page">
                <wp:posOffset>852805</wp:posOffset>
              </wp:positionH>
              <wp:positionV relativeFrom="page">
                <wp:posOffset>742950</wp:posOffset>
              </wp:positionV>
              <wp:extent cx="5858510" cy="0"/>
              <wp:effectExtent l="0" t="0" r="0" b="0"/>
              <wp:wrapNone/>
              <wp:docPr id="3" name="Shape 3"/>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w:pict>
            <v:shapetype w14:anchorId="650199F8" id="_x0000_t32" coordsize="21600,21600" o:spt="32" o:oned="t" path="m,l21600,21600e" filled="f">
              <v:path arrowok="t" fillok="f" o:connecttype="none"/>
              <o:lock v:ext="edit" shapetype="t"/>
            </v:shapetype>
            <v:shape id="Shape 3" o:spid="_x0000_s1026" type="#_x0000_t32" style="position:absolute;left:0;text-align:left;margin-left:67.15pt;margin-top:58.5pt;width:461.3pt;height:0;z-index:-251666432;visibility:visible;mso-wrap-style:square;mso-wrap-distance-left:9pt;mso-wrap-distance-top:0;mso-wrap-distance-right:9pt;mso-wrap-distance-bottom:0;mso-position-horizontal:absolute;mso-position-horizontal-relative:page;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" strokecolor="white" strokeweight="1pt">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05F55" w:rsidRDefault="00405F55">
    <w:pPr>
      <w:spacing w:line="1" w:lineRule="exac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05F55" w:rsidRDefault="008A5731">
    <w:pPr>
      <w:spacing w:line="1" w:lineRule="exact"/>
    </w:pPr>
    <w:r>
      <w:rPr>
        <w:noProof/>
      </w:rPr>
      <mc:AlternateContent>
        <mc:Choice Requires="wps">
          <w:drawing>
            <wp:anchor distT="0" distB="0" distL="114300" distR="114300" simplePos="0" relativeHeight="251667456" behindDoc="0" locked="0" layoutInCell="1" allowOverlap="1">
              <wp:simplePos x="0" y="0"/>
              <wp:positionH relativeFrom="column">
                <wp:posOffset>19865</wp:posOffset>
              </wp:positionH>
              <wp:positionV relativeFrom="paragraph">
                <wp:posOffset>910799</wp:posOffset>
              </wp:positionV>
              <wp:extent cx="5873058" cy="0"/>
              <wp:effectExtent l="0" t="0" r="0" b="0"/>
              <wp:wrapNone/>
              <wp:docPr id="1737787060" name="直接连接符 2"/>
              <wp:cNvGraphicFramePr/>
              <a:graphic xmlns:a="http://schemas.openxmlformats.org/drawingml/2006/main">
                <a:graphicData uri="http://schemas.microsoft.com/office/word/2010/wordprocessingShape">
                  <wps:wsp>
                    <wps:cNvCnPr/>
                    <wps:spPr>
                      <a:xfrm>
                        <a:off x="0" y="0"/>
                        <a:ext cx="5873058" cy="0"/>
                      </a:xfrm>
                      <a:prstGeom prst="line">
                        <a:avLst/>
                      </a:prstGeom>
                      <a:ln>
                        <a:solidFill>
                          <a:schemeClr val="bg1">
                            <a:lumMod val="65000"/>
                          </a:schemeClr>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D9DB2A6" id="直接连接符 2" o:spid="_x0000_s1026" style="position:absolute;left:0;text-align:left;z-index:251667456;visibility:visible;mso-wrap-style:square;mso-wrap-distance-left:9pt;mso-wrap-distance-top:0;mso-wrap-distance-right:9pt;mso-wrap-distance-bottom:0;mso-position-horizontal:absolute;mso-position-horizontal-relative:text;mso-position-vertical:absolute;mso-position-vertical-relative:text" from="1.55pt,71.7pt" to="464pt,7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" strokecolor="#a5a5a5 [2092]"/>
          </w:pict>
        </mc:Fallback>
      </mc:AlternateContent>
    </w:r>
    <w:r w:rsidR="00000000">
      <w:rPr>
        <w:noProof/>
      </w:rPr>
      <mc:AlternateContent>
        <mc:Choice Requires="wps">
          <w:drawing>
            <wp:anchor distT="0" distB="0" distL="0" distR="0" simplePos="0" relativeHeight="251658240" behindDoc="1" locked="0" layoutInCell="1" allowOverlap="1">
              <wp:simplePos x="0" y="0"/>
              <wp:positionH relativeFrom="margin">
                <wp:align>right</wp:align>
              </wp:positionH>
              <wp:positionV relativeFrom="topMargin">
                <wp:align>bottom</wp:align>
              </wp:positionV>
              <wp:extent cx="1685290" cy="106680"/>
              <wp:effectExtent l="0" t="0" r="0" b="0"/>
              <wp:wrapNone/>
              <wp:docPr id="85" name="Shape 85"/>
              <wp:cNvGraphicFramePr/>
              <a:graphic xmlns:a="http://schemas.openxmlformats.org/drawingml/2006/main">
                <a:graphicData uri="http://schemas.microsoft.com/office/word/2010/wordprocessingShape">
                  <wps:wsp>
                    <wps:cNvSpPr txBox="1"/>
                    <wps:spPr>
                      <a:xfrm>
                        <a:off x="0" y="0"/>
                        <a:ext cx="1685290" cy="106680"/>
                      </a:xfrm>
                      <a:prstGeom prst="rect">
                        <a:avLst/>
                      </a:prstGeom>
                      <a:noFill/>
                    </wps:spPr>
                    <wps:txbx>
                      <w:txbxContent>
                        <w:p w:rsidR="00405F55" w:rsidRDefault="00000000">
                          <w:pPr>
                            <w:pStyle w:val="23"/>
                            <w:rPr>
                              <w:rFonts w:hint="eastAsia"/>
                              <w:sz w:val="17"/>
                              <w:szCs w:val="17"/>
                            </w:rPr>
                          </w:pPr>
                          <w:r>
                            <w:rPr>
                              <w:rFonts w:ascii="黑体" w:eastAsia="黑体" w:hAnsi="黑体" w:cs="黑体"/>
                              <w:sz w:val="17"/>
                              <w:szCs w:val="17"/>
                            </w:rPr>
                            <w:t>第三次全国土壤普查技术规程规范</w:t>
                          </w:r>
                          <w:r w:rsidR="008A5731">
                            <w:rPr>
                              <w:rFonts w:ascii="黑体" w:eastAsia="黑体" w:hAnsi="黑体" w:cs="黑体" w:hint="eastAsia"/>
                              <w:sz w:val="17"/>
                              <w:szCs w:val="17"/>
                            </w:rPr>
                            <w:t>(修订版</w:t>
                          </w:r>
                          <w:r w:rsidR="008A5731">
                            <w:rPr>
                              <w:rFonts w:ascii="黑体" w:eastAsia="黑体" w:hAnsi="黑体" w:cs="黑体"/>
                              <w:sz w:val="17"/>
                              <w:szCs w:val="17"/>
                            </w:rPr>
                            <w:t>)</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85" o:spid="_x0000_s1033" type="#_x0000_t202" style="position:absolute;margin-left:81.5pt;margin-top:0;width:132.7pt;height:8.4pt;z-index:-251658240;visibility:visible;mso-wrap-style:none;mso-wrap-distance-left:0;mso-wrap-distance-top:0;mso-wrap-distance-right:0;mso-wrap-distance-bottom:0;mso-position-horizontal:right;mso-position-horizontal-relative:margin;mso-position-vertical:bottom;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" filled="f" stroked="f">
              <v:textbox style="mso-fit-shape-to-text:t" inset="0,0,0,0">
                <w:txbxContent>
                  <w:p w:rsidR="00405F55" w:rsidRDefault="00000000">
                    <w:pPr>
                      <w:pStyle w:val="23"/>
                      <w:rPr>
                        <w:rFonts w:hint="eastAsia"/>
                        <w:sz w:val="17"/>
                        <w:szCs w:val="17"/>
                      </w:rPr>
                    </w:pPr>
                    <w:r>
                      <w:rPr>
                        <w:rFonts w:ascii="黑体" w:eastAsia="黑体" w:hAnsi="黑体" w:cs="黑体"/>
                        <w:sz w:val="17"/>
                        <w:szCs w:val="17"/>
                      </w:rPr>
                      <w:t>第三次全国土壤普查技术规程规范</w:t>
                    </w:r>
                    <w:r w:rsidR="008A5731">
                      <w:rPr>
                        <w:rFonts w:ascii="黑体" w:eastAsia="黑体" w:hAnsi="黑体" w:cs="黑体" w:hint="eastAsia"/>
                        <w:sz w:val="17"/>
                        <w:szCs w:val="17"/>
                      </w:rPr>
                      <w:t>(修订版</w:t>
                    </w:r>
                    <w:r w:rsidR="008A5731">
                      <w:rPr>
                        <w:rFonts w:ascii="黑体" w:eastAsia="黑体" w:hAnsi="黑体" w:cs="黑体"/>
                        <w:sz w:val="17"/>
                        <w:szCs w:val="17"/>
                      </w:rPr>
                      <w:t>)</w:t>
                    </w:r>
                  </w:p>
                </w:txbxContent>
              </v:textbox>
              <w10:wrap anchorx="margin" anchory="margin"/>
            </v:shape>
          </w:pict>
        </mc:Fallback>
      </mc:AlternateContent>
    </w:r>
    <w:r w:rsidR="00000000">
      <w:rPr>
        <w:noProof/>
      </w:rPr>
      <mc:AlternateContent>
        <mc:Choice Requires="wps">
          <w:drawing>
            <wp:anchor distT="0" distB="0" distL="114300" distR="114300" simplePos="0" relativeHeight="251651072" behindDoc="1" locked="0" layoutInCell="1" allowOverlap="1">
              <wp:simplePos x="0" y="0"/>
              <wp:positionH relativeFrom="page">
                <wp:posOffset>849630</wp:posOffset>
              </wp:positionH>
              <wp:positionV relativeFrom="page">
                <wp:posOffset>742950</wp:posOffset>
              </wp:positionV>
              <wp:extent cx="5858510" cy="0"/>
              <wp:effectExtent l="0" t="0" r="0" b="0"/>
              <wp:wrapNone/>
              <wp:docPr id="87" name="Shape 87"/>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w:pict>
            <v:shapetype w14:anchorId="21B2E25E" id="_x0000_t32" coordsize="21600,21600" o:spt="32" o:oned="t" path="m,l21600,21600e" filled="f">
              <v:path arrowok="t" fillok="f" o:connecttype="none"/>
              <o:lock v:ext="edit" shapetype="t"/>
            </v:shapetype>
            <v:shape id="Shape 87" o:spid="_x0000_s1026" type="#_x0000_t32" style="position:absolute;left:0;text-align:left;margin-left:66.9pt;margin-top:58.5pt;width:461.3pt;height:0;z-index:-251665408;visibility:visible;mso-wrap-style:square;mso-wrap-distance-left:9pt;mso-wrap-distance-top:0;mso-wrap-distance-right:9pt;mso-wrap-distance-bottom:0;mso-position-horizontal:absolute;mso-position-horizontal-relative:page;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" strokecolor="white" strokeweight="1pt">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05F55" w:rsidRDefault="008A5731">
    <w:pPr>
      <w:spacing w:line="1" w:lineRule="exact"/>
    </w:pPr>
    <w:r>
      <w:rPr>
        <w:noProof/>
      </w:rPr>
      <mc:AlternateContent>
        <mc:Choice Requires="wps">
          <w:drawing>
            <wp:anchor distT="0" distB="0" distL="114300" distR="114300" simplePos="0" relativeHeight="251668480" behindDoc="0" locked="0" layoutInCell="1" allowOverlap="1">
              <wp:simplePos x="0" y="0"/>
              <wp:positionH relativeFrom="column">
                <wp:posOffset>19864</wp:posOffset>
              </wp:positionH>
              <wp:positionV relativeFrom="paragraph">
                <wp:posOffset>921224</wp:posOffset>
              </wp:positionV>
              <wp:extent cx="5853203" cy="0"/>
              <wp:effectExtent l="0" t="0" r="0" b="0"/>
              <wp:wrapNone/>
              <wp:docPr id="695953607" name="直接连接符 3"/>
              <wp:cNvGraphicFramePr/>
              <a:graphic xmlns:a="http://schemas.openxmlformats.org/drawingml/2006/main">
                <a:graphicData uri="http://schemas.microsoft.com/office/word/2010/wordprocessingShape">
                  <wps:wsp>
                    <wps:cNvCnPr/>
                    <wps:spPr>
                      <a:xfrm>
                        <a:off x="0" y="0"/>
                        <a:ext cx="5853203" cy="0"/>
                      </a:xfrm>
                      <a:prstGeom prst="line">
                        <a:avLst/>
                      </a:prstGeom>
                      <a:ln>
                        <a:solidFill>
                          <a:schemeClr val="bg1">
                            <a:lumMod val="65000"/>
                          </a:schemeClr>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D4F22A4" id="直接连接符 3" o:spid="_x0000_s1026" style="position:absolute;left:0;text-align:left;z-index:251668480;visibility:visible;mso-wrap-style:square;mso-wrap-distance-left:9pt;mso-wrap-distance-top:0;mso-wrap-distance-right:9pt;mso-wrap-distance-bottom:0;mso-position-horizontal:absolute;mso-position-horizontal-relative:text;mso-position-vertical:absolute;mso-position-vertical-relative:text" from="1.55pt,72.55pt" to="462.45pt,7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" strokecolor="#a5a5a5 [2092]"/>
          </w:pict>
        </mc:Fallback>
      </mc:AlternateContent>
    </w:r>
    <w:r w:rsidR="00000000">
      <w:rPr>
        <w:noProof/>
      </w:rPr>
      <mc:AlternateContent>
        <mc:Choice Requires="wps">
          <w:drawing>
            <wp:anchor distT="0" distB="0" distL="0" distR="0" simplePos="0" relativeHeight="251659264" behindDoc="1" locked="0" layoutInCell="1" allowOverlap="1">
              <wp:simplePos x="0" y="0"/>
              <wp:positionH relativeFrom="page">
                <wp:posOffset>4707255</wp:posOffset>
              </wp:positionH>
              <wp:positionV relativeFrom="page">
                <wp:posOffset>744694</wp:posOffset>
              </wp:positionV>
              <wp:extent cx="1972310" cy="113030"/>
              <wp:effectExtent l="0" t="0" r="0" b="0"/>
              <wp:wrapNone/>
              <wp:docPr id="80" name="Shape 80"/>
              <wp:cNvGraphicFramePr/>
              <a:graphic xmlns:a="http://schemas.openxmlformats.org/drawingml/2006/main">
                <a:graphicData uri="http://schemas.microsoft.com/office/word/2010/wordprocessingShape">
                  <wps:wsp>
                    <wps:cNvSpPr txBox="1"/>
                    <wps:spPr>
                      <a:xfrm>
                        <a:off x="0" y="0"/>
                        <a:ext cx="1972310" cy="113030"/>
                      </a:xfrm>
                      <a:prstGeom prst="rect">
                        <a:avLst/>
                      </a:prstGeom>
                      <a:noFill/>
                    </wps:spPr>
                    <wps:txbx>
                      <w:txbxContent>
                        <w:p w:rsidR="00405F55" w:rsidRDefault="00000000">
                          <w:pPr>
                            <w:pStyle w:val="23"/>
                            <w:rPr>
                              <w:sz w:val="17"/>
                              <w:szCs w:val="17"/>
                            </w:rPr>
                          </w:pPr>
                          <w:r>
                            <w:rPr>
                              <w:rFonts w:ascii="黑体" w:eastAsia="黑体" w:hAnsi="黑体" w:cs="黑体"/>
                              <w:sz w:val="17"/>
                              <w:szCs w:val="17"/>
                            </w:rPr>
                            <w:t xml:space="preserve">第三次全国土壤普查技术规程 </w:t>
                          </w:r>
                          <w:r>
                            <w:rPr>
                              <w:rFonts w:ascii="宋体" w:eastAsia="宋体" w:hAnsi="宋体" w:cs="宋体"/>
                              <w:sz w:val="17"/>
                              <w:szCs w:val="17"/>
                            </w:rPr>
                            <w:t>（</w:t>
                          </w:r>
                          <w:r>
                            <w:rPr>
                              <w:rFonts w:ascii="黑体" w:eastAsia="黑体" w:hAnsi="黑体" w:cs="黑体"/>
                              <w:sz w:val="17"/>
                              <w:szCs w:val="17"/>
                            </w:rPr>
                            <w:t>修订版</w:t>
                          </w:r>
                          <w:r>
                            <w:rPr>
                              <w:rFonts w:ascii="宋体" w:eastAsia="宋体" w:hAnsi="宋体" w:cs="宋体"/>
                              <w:sz w:val="17"/>
                              <w:szCs w:val="17"/>
                            </w:rPr>
                            <w:t>）</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80" o:spid="_x0000_s1034" type="#_x0000_t202" style="position:absolute;margin-left:370.65pt;margin-top:58.65pt;width:155.3pt;height:8.9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" filled="f" stroked="f">
              <v:textbox style="mso-fit-shape-to-text:t" inset="0,0,0,0">
                <w:txbxContent>
                  <w:p w:rsidR="00405F55" w:rsidRDefault="00000000">
                    <w:pPr>
                      <w:pStyle w:val="23"/>
                      <w:rPr>
                        <w:sz w:val="17"/>
                        <w:szCs w:val="17"/>
                      </w:rPr>
                    </w:pPr>
                    <w:r>
                      <w:rPr>
                        <w:rFonts w:ascii="黑体" w:eastAsia="黑体" w:hAnsi="黑体" w:cs="黑体"/>
                        <w:sz w:val="17"/>
                        <w:szCs w:val="17"/>
                      </w:rPr>
                      <w:t xml:space="preserve">第三次全国土壤普查技术规程 </w:t>
                    </w:r>
                    <w:r>
                      <w:rPr>
                        <w:rFonts w:ascii="宋体" w:eastAsia="宋体" w:hAnsi="宋体" w:cs="宋体"/>
                        <w:sz w:val="17"/>
                        <w:szCs w:val="17"/>
                      </w:rPr>
                      <w:t>（</w:t>
                    </w:r>
                    <w:r>
                      <w:rPr>
                        <w:rFonts w:ascii="黑体" w:eastAsia="黑体" w:hAnsi="黑体" w:cs="黑体"/>
                        <w:sz w:val="17"/>
                        <w:szCs w:val="17"/>
                      </w:rPr>
                      <w:t>修订版</w:t>
                    </w:r>
                    <w:r>
                      <w:rPr>
                        <w:rFonts w:ascii="宋体" w:eastAsia="宋体" w:hAnsi="宋体" w:cs="宋体"/>
                        <w:sz w:val="17"/>
                        <w:szCs w:val="17"/>
                      </w:rPr>
                      <w:t>）</w:t>
                    </w:r>
                  </w:p>
                </w:txbxContent>
              </v:textbox>
              <w10:wrap anchorx="page" anchory="page"/>
            </v:shape>
          </w:pict>
        </mc:Fallback>
      </mc:AlternateContent>
    </w:r>
    <w:r w:rsidR="00000000">
      <w:rPr>
        <w:noProof/>
      </w:rPr>
      <mc:AlternateContent>
        <mc:Choice Requires="wps">
          <w:drawing>
            <wp:anchor distT="0" distB="0" distL="114300" distR="114300" simplePos="0" relativeHeight="251652096" behindDoc="1" locked="0" layoutInCell="1" allowOverlap="1">
              <wp:simplePos x="0" y="0"/>
              <wp:positionH relativeFrom="page">
                <wp:posOffset>851535</wp:posOffset>
              </wp:positionH>
              <wp:positionV relativeFrom="page">
                <wp:posOffset>742950</wp:posOffset>
              </wp:positionV>
              <wp:extent cx="5858510" cy="0"/>
              <wp:effectExtent l="0" t="0" r="0" b="0"/>
              <wp:wrapNone/>
              <wp:docPr id="82" name="Shape 82"/>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w:pict>
            <v:shapetype w14:anchorId="210BC35D" id="_x0000_t32" coordsize="21600,21600" o:spt="32" o:oned="t" path="m,l21600,21600e" filled="f">
              <v:path arrowok="t" fillok="f" o:connecttype="none"/>
              <o:lock v:ext="edit" shapetype="t"/>
            </v:shapetype>
            <v:shape id="Shape 82" o:spid="_x0000_s1026" type="#_x0000_t32" style="position:absolute;left:0;text-align:left;margin-left:67.05pt;margin-top:58.5pt;width:461.3pt;height:0;z-index:-251664384;visibility:visible;mso-wrap-style:square;mso-wrap-distance-left:9pt;mso-wrap-distance-top:0;mso-wrap-distance-right:9pt;mso-wrap-distance-bottom:0;mso-position-horizontal:absolute;mso-position-horizontal-relative:page;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" strokecolor="white" strokeweight="1pt">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05F55" w:rsidRDefault="00000000">
    <w:pPr>
      <w:spacing w:line="1" w:lineRule="exact"/>
    </w:pPr>
    <w:r>
      <w:rPr>
        <w:noProof/>
      </w:rPr>
      <mc:AlternateContent>
        <mc:Choice Requires="wps">
          <w:drawing>
            <wp:anchor distT="0" distB="0" distL="0" distR="0" simplePos="0" relativeHeight="251662336" behindDoc="1" locked="0" layoutInCell="1" allowOverlap="1">
              <wp:simplePos x="0" y="0"/>
              <wp:positionH relativeFrom="page">
                <wp:posOffset>4707255</wp:posOffset>
              </wp:positionH>
              <wp:positionV relativeFrom="page">
                <wp:posOffset>601345</wp:posOffset>
              </wp:positionV>
              <wp:extent cx="1972310" cy="113030"/>
              <wp:effectExtent l="0" t="0" r="0" b="0"/>
              <wp:wrapNone/>
              <wp:docPr id="90" name="Shape 90"/>
              <wp:cNvGraphicFramePr/>
              <a:graphic xmlns:a="http://schemas.openxmlformats.org/drawingml/2006/main">
                <a:graphicData uri="http://schemas.microsoft.com/office/word/2010/wordprocessingShape">
                  <wps:wsp>
                    <wps:cNvSpPr txBox="1"/>
                    <wps:spPr>
                      <a:xfrm>
                        <a:off x="0" y="0"/>
                        <a:ext cx="1972310" cy="113030"/>
                      </a:xfrm>
                      <a:prstGeom prst="rect">
                        <a:avLst/>
                      </a:prstGeom>
                      <a:noFill/>
                    </wps:spPr>
                    <wps:txbx>
                      <w:txbxContent>
                        <w:p w:rsidR="00405F55" w:rsidRDefault="00000000">
                          <w:pPr>
                            <w:pStyle w:val="23"/>
                            <w:rPr>
                              <w:sz w:val="17"/>
                              <w:szCs w:val="17"/>
                            </w:rPr>
                          </w:pPr>
                          <w:r>
                            <w:rPr>
                              <w:rFonts w:ascii="黑体" w:eastAsia="黑体" w:hAnsi="黑体" w:cs="黑体"/>
                              <w:sz w:val="17"/>
                              <w:szCs w:val="17"/>
                            </w:rPr>
                            <w:t xml:space="preserve">第三次全国土壤普查技术规程 </w:t>
                          </w:r>
                          <w:r>
                            <w:rPr>
                              <w:rFonts w:ascii="宋体" w:eastAsia="宋体" w:hAnsi="宋体" w:cs="宋体"/>
                              <w:sz w:val="17"/>
                              <w:szCs w:val="17"/>
                            </w:rPr>
                            <w:t>(</w:t>
                          </w:r>
                          <w:r>
                            <w:rPr>
                              <w:rFonts w:ascii="黑体" w:eastAsia="黑体" w:hAnsi="黑体" w:cs="黑体"/>
                              <w:sz w:val="17"/>
                              <w:szCs w:val="17"/>
                            </w:rPr>
                            <w:t>修订版</w:t>
                          </w:r>
                          <w:r>
                            <w:rPr>
                              <w:rFonts w:ascii="宋体" w:eastAsia="宋体" w:hAnsi="宋体" w:cs="宋体"/>
                              <w:sz w:val="17"/>
                              <w:szCs w:val="17"/>
                            </w:rPr>
                            <w:t>)</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90" o:spid="_x0000_s1037" type="#_x0000_t202" style="position:absolute;margin-left:370.65pt;margin-top:47.35pt;width:155.3pt;height:8.9pt;z-index:-251654144;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" filled="f" stroked="f">
              <v:textbox style="mso-fit-shape-to-text:t" inset="0,0,0,0">
                <w:txbxContent>
                  <w:p w:rsidR="00405F55" w:rsidRDefault="00000000">
                    <w:pPr>
                      <w:pStyle w:val="23"/>
                      <w:rPr>
                        <w:sz w:val="17"/>
                        <w:szCs w:val="17"/>
                      </w:rPr>
                    </w:pPr>
                    <w:r>
                      <w:rPr>
                        <w:rFonts w:ascii="黑体" w:eastAsia="黑体" w:hAnsi="黑体" w:cs="黑体"/>
                        <w:sz w:val="17"/>
                        <w:szCs w:val="17"/>
                      </w:rPr>
                      <w:t xml:space="preserve">第三次全国土壤普查技术规程 </w:t>
                    </w:r>
                    <w:r>
                      <w:rPr>
                        <w:rFonts w:ascii="宋体" w:eastAsia="宋体" w:hAnsi="宋体" w:cs="宋体"/>
                        <w:sz w:val="17"/>
                        <w:szCs w:val="17"/>
                      </w:rPr>
                      <w:t>(</w:t>
                    </w:r>
                    <w:r>
                      <w:rPr>
                        <w:rFonts w:ascii="黑体" w:eastAsia="黑体" w:hAnsi="黑体" w:cs="黑体"/>
                        <w:sz w:val="17"/>
                        <w:szCs w:val="17"/>
                      </w:rPr>
                      <w:t>修订版</w:t>
                    </w:r>
                    <w:r>
                      <w:rPr>
                        <w:rFonts w:ascii="宋体" w:eastAsia="宋体" w:hAnsi="宋体" w:cs="宋体"/>
                        <w:sz w:val="17"/>
                        <w:szCs w:val="17"/>
                      </w:rPr>
                      <w:t>)</w:t>
                    </w:r>
                  </w:p>
                </w:txbxContent>
              </v:textbox>
              <w10:wrap anchorx="page" anchory="page"/>
            </v:shape>
          </w:pict>
        </mc:Fallback>
      </mc:AlternateContent>
    </w:r>
    <w:r>
      <w:rPr>
        <w:noProof/>
      </w:rPr>
      <mc:AlternateContent>
        <mc:Choice Requires="wps">
          <w:drawing>
            <wp:anchor distT="0" distB="0" distL="114300" distR="114300" simplePos="0" relativeHeight="251653120" behindDoc="1" locked="0" layoutInCell="1" allowOverlap="1">
              <wp:simplePos x="0" y="0"/>
              <wp:positionH relativeFrom="page">
                <wp:posOffset>851535</wp:posOffset>
              </wp:positionH>
              <wp:positionV relativeFrom="page">
                <wp:posOffset>746125</wp:posOffset>
              </wp:positionV>
              <wp:extent cx="5858510" cy="0"/>
              <wp:effectExtent l="0" t="0" r="0" b="0"/>
              <wp:wrapNone/>
              <wp:docPr id="92" name="Shape 92"/>
              <wp:cNvGraphicFramePr/>
              <a:graphic xmlns:a="http://schemas.openxmlformats.org/drawingml/2006/main">
                <a:graphicData uri="http://schemas.microsoft.com/office/word/2010/wordprocessingShape">
                  <wps:wsp>
                    <wps:cNvCnPr/>
                    <wps:spPr>
                      <a:xfrm>
                        <a:off x="0" y="0"/>
                        <a:ext cx="5858510" cy="0"/>
                      </a:xfrm>
                      <a:prstGeom prst="straightConnector1">
                        <a:avLst/>
                      </a:prstGeom>
                      <a:ln w="12700">
                        <a:solidFill>
                          <a:srgbClr val="FFFFFF"/>
                        </a:solidFill>
                      </a:ln>
                    </wps:spPr>
                    <wps:bodyPr/>
                  </wps:wsp>
                </a:graphicData>
              </a:graphic>
            </wp:anchor>
          </w:drawing>
        </mc:Choice>
        <mc:Fallback>
          <w:pict>
            <v:shapetype w14:anchorId="626A9234" id="_x0000_t32" coordsize="21600,21600" o:spt="32" o:oned="t" path="m,l21600,21600e" filled="f">
              <v:path arrowok="t" fillok="f" o:connecttype="none"/>
              <o:lock v:ext="edit" shapetype="t"/>
            </v:shapetype>
            <v:shape id="Shape 92" o:spid="_x0000_s1026" type="#_x0000_t32" style="position:absolute;left:0;text-align:left;margin-left:67.05pt;margin-top:58.75pt;width:461.3pt;height:0;z-index:-251663360;visibility:visible;mso-wrap-style:square;mso-wrap-distance-left:9pt;mso-wrap-distance-top:0;mso-wrap-distance-right:9pt;mso-wrap-distance-bottom:0;mso-position-horizontal:absolute;mso-position-horizontal-relative:page;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" strokecolor="white" strokeweight="1pt">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88B902"/>
    <w:multiLevelType w:val="multilevel"/>
    <w:tmpl w:val="9288B902"/>
    <w:lvl w:ilvl="0">
      <w:start w:val="4"/>
      <w:numFmt w:val="decimal"/>
      <w:lvlText w:val="%1"/>
      <w:lvlJc w:val="left"/>
    </w:lvl>
    <w:lvl w:ilvl="1">
      <w:start w:val="5"/>
      <w:numFmt w:val="decimal"/>
      <w:lvlText w:val="%1.%2"/>
      <w:lvlJc w:val="left"/>
    </w:lvl>
    <w:lvl w:ilvl="2">
      <w:start w:val="1"/>
      <w:numFmt w:val="decimal"/>
      <w:lvlText w:val="%1.%2.%3"/>
      <w:lvlJc w:val="left"/>
      <w:rPr>
        <w:rFonts w:ascii="宋体" w:eastAsia="宋体" w:hAnsi="宋体" w:cs="宋体" w:hint="default"/>
        <w:b/>
        <w:bCs/>
        <w:i w:val="0"/>
        <w:iCs w:val="0"/>
        <w:smallCaps w:val="0"/>
        <w:strike w:val="0"/>
        <w:color w:val="000000"/>
        <w:spacing w:val="0"/>
        <w:w w:val="100"/>
        <w:position w:val="0"/>
        <w:sz w:val="24"/>
        <w:szCs w:val="24"/>
        <w:u w:val="none"/>
        <w:shd w:val="clear" w:color="auto" w:fill="auto"/>
        <w:lang w:val="en-US" w:eastAsia="en-US" w:bidi="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6A08BB8"/>
    <w:multiLevelType w:val="multilevel"/>
    <w:tmpl w:val="46A08BB8"/>
    <w:lvl w:ilvl="0">
      <w:start w:val="3"/>
      <w:numFmt w:val="decimal"/>
      <w:lvlText w:val="%1"/>
      <w:lvlJc w:val="left"/>
    </w:lvl>
    <w:lvl w:ilvl="1">
      <w:start w:val="1"/>
      <w:numFmt w:val="decimal"/>
      <w:lvlText w:val="%1.%2"/>
      <w:lvlJc w:val="left"/>
    </w:lvl>
    <w:lvl w:ilvl="2">
      <w:start w:val="1"/>
      <w:numFmt w:val="decimal"/>
      <w:lvlText w:val="%1.%2.%3"/>
      <w:lvlJc w:val="left"/>
      <w:rPr>
        <w:rFonts w:ascii="宋体" w:eastAsia="宋体" w:hAnsi="宋体" w:cs="宋体" w:hint="default"/>
        <w:b/>
        <w:bCs/>
        <w:i w:val="0"/>
        <w:iCs w:val="0"/>
        <w:smallCaps w:val="0"/>
        <w:strike w:val="0"/>
        <w:color w:val="000000"/>
        <w:spacing w:val="0"/>
        <w:w w:val="100"/>
        <w:position w:val="0"/>
        <w:sz w:val="24"/>
        <w:szCs w:val="24"/>
        <w:u w:val="none"/>
        <w:shd w:val="clear" w:color="auto" w:fill="auto"/>
        <w:lang w:val="en-US" w:eastAsia="en-US" w:bidi="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090156331">
    <w:abstractNumId w:val="1"/>
  </w:num>
  <w:num w:numId="2" w16cid:durableId="17148160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evenAndOddHeaders/>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5F55"/>
    <w:rsid w:val="00264B9C"/>
    <w:rsid w:val="002D729C"/>
    <w:rsid w:val="00405F55"/>
    <w:rsid w:val="008A5731"/>
    <w:rsid w:val="459F3669"/>
    <w:rsid w:val="6042113A"/>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DA38D8"/>
  <w15:docId w15:val="{EA56D180-10BF-43C1-ABBD-36B104696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Theme="minorEastAsia" w:hAnsi="Courier New" w:cs="Courier New"/>
        <w:lang w:val="en-US" w:eastAsia="zh-CN" w:bidi="mn-Mong-CN"/>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toc 5" w:qFormat="1"/>
    <w:lsdException w:name="caption" w:semiHidden="1" w:unhideWhenUsed="1" w:qFormat="1"/>
    <w:lsdException w:name="Title" w:qFormat="1"/>
    <w:lsdException w:name="Default Paragraph Fo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rFonts w:eastAsia="Courier New"/>
      <w:color w:val="000000"/>
      <w:sz w:val="24"/>
      <w:szCs w:val="24"/>
      <w:lang w:eastAsia="en-US" w:bidi="en-US"/>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0"/>
    <w:unhideWhenUsed/>
    <w:qFormat/>
    <w:pPr>
      <w:keepNext/>
      <w:keepLines/>
      <w:spacing w:before="260" w:after="260" w:line="413" w:lineRule="auto"/>
      <w:outlineLvl w:val="2"/>
    </w:pPr>
    <w:rPr>
      <w:b/>
      <w:sz w:val="32"/>
    </w:rPr>
  </w:style>
  <w:style w:type="paragraph" w:styleId="4">
    <w:name w:val="heading 4"/>
    <w:basedOn w:val="a"/>
    <w:next w:val="a"/>
    <w:unhideWhenUsed/>
    <w:qFormat/>
    <w:pPr>
      <w:keepNext/>
      <w:keepLines/>
      <w:spacing w:before="280" w:after="290" w:line="372" w:lineRule="auto"/>
      <w:outlineLvl w:val="3"/>
    </w:pPr>
    <w:rPr>
      <w:rFonts w:ascii="Arial" w:eastAsia="黑体" w:hAnsi="Arial"/>
      <w:b/>
      <w:sz w:val="28"/>
    </w:rPr>
  </w:style>
  <w:style w:type="paragraph" w:styleId="5">
    <w:name w:val="heading 5"/>
    <w:basedOn w:val="a"/>
    <w:next w:val="a"/>
    <w:semiHidden/>
    <w:unhideWhenUsed/>
    <w:qFormat/>
    <w:pPr>
      <w:keepNext/>
      <w:keepLines/>
      <w:spacing w:before="280" w:after="290" w:line="372" w:lineRule="auto"/>
      <w:outlineLvl w:val="4"/>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5">
    <w:name w:val="toc 5"/>
    <w:basedOn w:val="a"/>
    <w:next w:val="a"/>
    <w:qFormat/>
    <w:pPr>
      <w:ind w:leftChars="800" w:left="1680"/>
    </w:pPr>
  </w:style>
  <w:style w:type="paragraph" w:styleId="TOC3">
    <w:name w:val="toc 3"/>
    <w:basedOn w:val="a"/>
    <w:next w:val="a"/>
    <w:qFormat/>
    <w:pPr>
      <w:ind w:leftChars="400" w:left="840"/>
    </w:pPr>
  </w:style>
  <w:style w:type="paragraph" w:styleId="a3">
    <w:name w:val="footer"/>
    <w:basedOn w:val="a"/>
    <w:pP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character" w:customStyle="1" w:styleId="31">
    <w:name w:val="正文文本 (3)_"/>
    <w:basedOn w:val="a0"/>
    <w:link w:val="32"/>
    <w:qFormat/>
    <w:rPr>
      <w:rFonts w:ascii="宋体" w:eastAsia="宋体" w:hAnsi="宋体" w:cs="宋体"/>
      <w:color w:val="231F20"/>
      <w:sz w:val="22"/>
      <w:szCs w:val="22"/>
      <w:u w:val="none"/>
      <w:lang w:val="zh-CN" w:eastAsia="zh-CN" w:bidi="zh-CN"/>
    </w:rPr>
  </w:style>
  <w:style w:type="paragraph" w:customStyle="1" w:styleId="32">
    <w:name w:val="正文文本 (3)"/>
    <w:basedOn w:val="a"/>
    <w:link w:val="31"/>
    <w:qFormat/>
    <w:pPr>
      <w:spacing w:line="299" w:lineRule="exact"/>
    </w:pPr>
    <w:rPr>
      <w:rFonts w:ascii="宋体" w:eastAsia="宋体" w:hAnsi="宋体" w:cs="宋体"/>
      <w:color w:val="231F20"/>
      <w:sz w:val="22"/>
      <w:szCs w:val="22"/>
      <w:lang w:val="zh-CN" w:eastAsia="zh-CN" w:bidi="zh-CN"/>
    </w:rPr>
  </w:style>
  <w:style w:type="character" w:customStyle="1" w:styleId="10">
    <w:name w:val="标题 #1_"/>
    <w:basedOn w:val="a0"/>
    <w:link w:val="11"/>
    <w:qFormat/>
    <w:rPr>
      <w:rFonts w:ascii="宋体" w:eastAsia="宋体" w:hAnsi="宋体" w:cs="宋体"/>
      <w:color w:val="231F20"/>
      <w:sz w:val="54"/>
      <w:szCs w:val="54"/>
      <w:u w:val="none"/>
      <w:lang w:val="zh-CN" w:eastAsia="zh-CN" w:bidi="zh-CN"/>
    </w:rPr>
  </w:style>
  <w:style w:type="paragraph" w:customStyle="1" w:styleId="11">
    <w:name w:val="标题 #1"/>
    <w:basedOn w:val="a"/>
    <w:link w:val="10"/>
    <w:qFormat/>
    <w:pPr>
      <w:spacing w:after="1400" w:line="624" w:lineRule="exact"/>
      <w:jc w:val="center"/>
      <w:outlineLvl w:val="0"/>
    </w:pPr>
    <w:rPr>
      <w:rFonts w:ascii="宋体" w:eastAsia="宋体" w:hAnsi="宋体" w:cs="宋体"/>
      <w:color w:val="231F20"/>
      <w:sz w:val="54"/>
      <w:szCs w:val="54"/>
      <w:lang w:val="zh-CN" w:eastAsia="zh-CN" w:bidi="zh-CN"/>
    </w:rPr>
  </w:style>
  <w:style w:type="character" w:customStyle="1" w:styleId="a4">
    <w:name w:val="正文文本_"/>
    <w:basedOn w:val="a0"/>
    <w:link w:val="12"/>
    <w:qFormat/>
    <w:rPr>
      <w:rFonts w:ascii="宋体" w:eastAsia="宋体" w:hAnsi="宋体" w:cs="宋体"/>
      <w:sz w:val="20"/>
      <w:szCs w:val="20"/>
      <w:u w:val="none"/>
      <w:lang w:val="zh-CN" w:eastAsia="zh-CN" w:bidi="zh-CN"/>
    </w:rPr>
  </w:style>
  <w:style w:type="paragraph" w:customStyle="1" w:styleId="12">
    <w:name w:val="正文文本1"/>
    <w:basedOn w:val="a"/>
    <w:link w:val="a4"/>
    <w:qFormat/>
    <w:pPr>
      <w:spacing w:line="334" w:lineRule="auto"/>
      <w:ind w:firstLine="400"/>
    </w:pPr>
    <w:rPr>
      <w:rFonts w:ascii="宋体" w:eastAsia="宋体" w:hAnsi="宋体" w:cs="宋体"/>
      <w:sz w:val="20"/>
      <w:szCs w:val="20"/>
      <w:lang w:val="zh-CN" w:eastAsia="zh-CN" w:bidi="zh-CN"/>
    </w:rPr>
  </w:style>
  <w:style w:type="character" w:customStyle="1" w:styleId="6">
    <w:name w:val="正文文本 (6)_"/>
    <w:basedOn w:val="a0"/>
    <w:link w:val="60"/>
    <w:qFormat/>
    <w:rPr>
      <w:rFonts w:ascii="Arial" w:eastAsia="Arial" w:hAnsi="Arial" w:cs="Arial"/>
      <w:color w:val="231F20"/>
      <w:u w:val="none"/>
      <w:lang w:val="zh-CN" w:eastAsia="zh-CN" w:bidi="zh-CN"/>
    </w:rPr>
  </w:style>
  <w:style w:type="paragraph" w:customStyle="1" w:styleId="60">
    <w:name w:val="正文文本 (6)"/>
    <w:basedOn w:val="a"/>
    <w:link w:val="6"/>
    <w:qFormat/>
    <w:pPr>
      <w:jc w:val="center"/>
    </w:pPr>
    <w:rPr>
      <w:rFonts w:ascii="Arial" w:eastAsia="Arial" w:hAnsi="Arial" w:cs="Arial"/>
      <w:color w:val="231F20"/>
      <w:lang w:val="zh-CN" w:eastAsia="zh-CN" w:bidi="zh-CN"/>
    </w:rPr>
  </w:style>
  <w:style w:type="character" w:customStyle="1" w:styleId="20">
    <w:name w:val="标题 #2_"/>
    <w:basedOn w:val="a0"/>
    <w:link w:val="21"/>
    <w:qFormat/>
    <w:rPr>
      <w:rFonts w:ascii="黑体" w:eastAsia="黑体" w:hAnsi="黑体" w:cs="黑体"/>
      <w:sz w:val="28"/>
      <w:szCs w:val="28"/>
      <w:u w:val="none"/>
      <w:lang w:val="zh-CN" w:eastAsia="zh-CN" w:bidi="zh-CN"/>
    </w:rPr>
  </w:style>
  <w:style w:type="paragraph" w:customStyle="1" w:styleId="21">
    <w:name w:val="标题 #2"/>
    <w:basedOn w:val="a"/>
    <w:link w:val="20"/>
    <w:qFormat/>
    <w:pPr>
      <w:spacing w:after="330"/>
      <w:outlineLvl w:val="1"/>
    </w:pPr>
    <w:rPr>
      <w:rFonts w:ascii="黑体" w:eastAsia="黑体" w:hAnsi="黑体" w:cs="黑体"/>
      <w:sz w:val="28"/>
      <w:szCs w:val="28"/>
      <w:lang w:val="zh-CN" w:eastAsia="zh-CN" w:bidi="zh-CN"/>
    </w:rPr>
  </w:style>
  <w:style w:type="character" w:customStyle="1" w:styleId="22">
    <w:name w:val="页眉或页脚 (2)_"/>
    <w:basedOn w:val="a0"/>
    <w:link w:val="23"/>
    <w:qFormat/>
    <w:rPr>
      <w:rFonts w:ascii="Times New Roman" w:eastAsia="Times New Roman" w:hAnsi="Times New Roman" w:cs="Times New Roman"/>
      <w:sz w:val="20"/>
      <w:szCs w:val="20"/>
      <w:u w:val="none"/>
      <w:lang w:val="zh-CN" w:eastAsia="zh-CN" w:bidi="zh-CN"/>
    </w:rPr>
  </w:style>
  <w:style w:type="paragraph" w:customStyle="1" w:styleId="23">
    <w:name w:val="页眉或页脚 (2)"/>
    <w:basedOn w:val="a"/>
    <w:link w:val="22"/>
    <w:qFormat/>
    <w:rPr>
      <w:rFonts w:ascii="Times New Roman" w:eastAsia="Times New Roman" w:hAnsi="Times New Roman" w:cs="Times New Roman"/>
      <w:sz w:val="20"/>
      <w:szCs w:val="20"/>
      <w:lang w:val="zh-CN" w:eastAsia="zh-CN" w:bidi="zh-CN"/>
    </w:rPr>
  </w:style>
  <w:style w:type="character" w:customStyle="1" w:styleId="a5">
    <w:name w:val="目录_"/>
    <w:basedOn w:val="a0"/>
    <w:link w:val="a6"/>
    <w:qFormat/>
    <w:rPr>
      <w:rFonts w:ascii="宋体" w:eastAsia="宋体" w:hAnsi="宋体" w:cs="宋体"/>
      <w:sz w:val="20"/>
      <w:szCs w:val="20"/>
      <w:u w:val="none"/>
      <w:lang w:val="zh-CN" w:eastAsia="zh-CN" w:bidi="zh-CN"/>
    </w:rPr>
  </w:style>
  <w:style w:type="paragraph" w:customStyle="1" w:styleId="a6">
    <w:name w:val="目录"/>
    <w:basedOn w:val="a"/>
    <w:link w:val="a5"/>
    <w:qFormat/>
    <w:pPr>
      <w:ind w:firstLine="220"/>
    </w:pPr>
    <w:rPr>
      <w:rFonts w:ascii="宋体" w:eastAsia="宋体" w:hAnsi="宋体" w:cs="宋体"/>
      <w:sz w:val="20"/>
      <w:szCs w:val="20"/>
      <w:lang w:val="zh-CN" w:eastAsia="zh-CN" w:bidi="zh-CN"/>
    </w:rPr>
  </w:style>
  <w:style w:type="character" w:customStyle="1" w:styleId="24">
    <w:name w:val="正文文本 (2)_"/>
    <w:basedOn w:val="a0"/>
    <w:link w:val="25"/>
    <w:qFormat/>
    <w:rPr>
      <w:rFonts w:ascii="宋体" w:eastAsia="宋体" w:hAnsi="宋体" w:cs="宋体"/>
      <w:color w:val="231F20"/>
      <w:sz w:val="18"/>
      <w:szCs w:val="18"/>
      <w:u w:val="none"/>
      <w:lang w:val="zh-CN" w:eastAsia="zh-CN" w:bidi="zh-CN"/>
    </w:rPr>
  </w:style>
  <w:style w:type="paragraph" w:customStyle="1" w:styleId="25">
    <w:name w:val="正文文本 (2)"/>
    <w:basedOn w:val="a"/>
    <w:link w:val="24"/>
    <w:qFormat/>
    <w:pPr>
      <w:spacing w:line="216" w:lineRule="exact"/>
    </w:pPr>
    <w:rPr>
      <w:rFonts w:ascii="宋体" w:eastAsia="宋体" w:hAnsi="宋体" w:cs="宋体"/>
      <w:color w:val="231F20"/>
      <w:sz w:val="18"/>
      <w:szCs w:val="18"/>
      <w:lang w:val="zh-CN" w:eastAsia="zh-CN" w:bidi="zh-CN"/>
    </w:rPr>
  </w:style>
  <w:style w:type="character" w:customStyle="1" w:styleId="40">
    <w:name w:val="正文文本 (4)_"/>
    <w:basedOn w:val="a0"/>
    <w:link w:val="41"/>
    <w:qFormat/>
    <w:rPr>
      <w:rFonts w:ascii="宋体" w:eastAsia="宋体" w:hAnsi="宋体" w:cs="宋体"/>
      <w:color w:val="231F20"/>
      <w:sz w:val="18"/>
      <w:szCs w:val="18"/>
      <w:u w:val="none"/>
      <w:lang w:val="zh-CN" w:eastAsia="zh-CN" w:bidi="zh-CN"/>
    </w:rPr>
  </w:style>
  <w:style w:type="paragraph" w:customStyle="1" w:styleId="41">
    <w:name w:val="正文文本 (4)"/>
    <w:basedOn w:val="a"/>
    <w:link w:val="40"/>
    <w:qFormat/>
    <w:pPr>
      <w:spacing w:line="182" w:lineRule="exact"/>
    </w:pPr>
    <w:rPr>
      <w:rFonts w:ascii="宋体" w:eastAsia="宋体" w:hAnsi="宋体" w:cs="宋体"/>
      <w:color w:val="231F20"/>
      <w:sz w:val="18"/>
      <w:szCs w:val="18"/>
      <w:lang w:val="zh-CN" w:eastAsia="zh-CN" w:bidi="zh-CN"/>
    </w:rPr>
  </w:style>
  <w:style w:type="character" w:customStyle="1" w:styleId="a7">
    <w:name w:val="图片标题_"/>
    <w:basedOn w:val="a0"/>
    <w:link w:val="a8"/>
    <w:qFormat/>
    <w:rPr>
      <w:rFonts w:ascii="宋体" w:eastAsia="宋体" w:hAnsi="宋体" w:cs="宋体"/>
      <w:color w:val="231F20"/>
      <w:sz w:val="18"/>
      <w:szCs w:val="18"/>
      <w:u w:val="none"/>
      <w:lang w:val="zh-CN" w:eastAsia="zh-CN" w:bidi="zh-CN"/>
    </w:rPr>
  </w:style>
  <w:style w:type="paragraph" w:customStyle="1" w:styleId="a8">
    <w:name w:val="图片标题"/>
    <w:basedOn w:val="a"/>
    <w:link w:val="a7"/>
    <w:qFormat/>
    <w:pPr>
      <w:spacing w:line="218" w:lineRule="exact"/>
    </w:pPr>
    <w:rPr>
      <w:rFonts w:ascii="宋体" w:eastAsia="宋体" w:hAnsi="宋体" w:cs="宋体"/>
      <w:color w:val="231F20"/>
      <w:sz w:val="18"/>
      <w:szCs w:val="18"/>
      <w:lang w:val="zh-CN" w:eastAsia="zh-CN" w:bidi="zh-CN"/>
    </w:rPr>
  </w:style>
  <w:style w:type="character" w:customStyle="1" w:styleId="33">
    <w:name w:val="标题 #3_"/>
    <w:basedOn w:val="a0"/>
    <w:link w:val="34"/>
    <w:qFormat/>
    <w:rPr>
      <w:rFonts w:ascii="宋体" w:eastAsia="宋体" w:hAnsi="宋体" w:cs="宋体"/>
      <w:b/>
      <w:bCs/>
      <w:sz w:val="20"/>
      <w:szCs w:val="20"/>
      <w:u w:val="none"/>
      <w:lang w:val="zh-CN" w:eastAsia="zh-CN" w:bidi="zh-CN"/>
    </w:rPr>
  </w:style>
  <w:style w:type="paragraph" w:customStyle="1" w:styleId="34">
    <w:name w:val="标题 #3"/>
    <w:basedOn w:val="a"/>
    <w:link w:val="33"/>
    <w:qFormat/>
    <w:pPr>
      <w:spacing w:line="317" w:lineRule="exact"/>
      <w:outlineLvl w:val="2"/>
    </w:pPr>
    <w:rPr>
      <w:rFonts w:ascii="宋体" w:eastAsia="宋体" w:hAnsi="宋体" w:cs="宋体"/>
      <w:b/>
      <w:bCs/>
      <w:sz w:val="20"/>
      <w:szCs w:val="20"/>
      <w:lang w:val="zh-CN" w:eastAsia="zh-CN" w:bidi="zh-CN"/>
    </w:rPr>
  </w:style>
  <w:style w:type="character" w:customStyle="1" w:styleId="50">
    <w:name w:val="正文文本 (5)_"/>
    <w:basedOn w:val="a0"/>
    <w:link w:val="51"/>
    <w:qFormat/>
    <w:rPr>
      <w:rFonts w:ascii="Times New Roman" w:eastAsia="Times New Roman" w:hAnsi="Times New Roman" w:cs="Times New Roman"/>
      <w:u w:val="none"/>
      <w:lang w:val="zh-CN" w:eastAsia="zh-CN" w:bidi="zh-CN"/>
    </w:rPr>
  </w:style>
  <w:style w:type="paragraph" w:customStyle="1" w:styleId="51">
    <w:name w:val="正文文本 (5)"/>
    <w:basedOn w:val="a"/>
    <w:link w:val="50"/>
    <w:qFormat/>
    <w:pPr>
      <w:spacing w:after="110" w:line="315" w:lineRule="exact"/>
    </w:pPr>
    <w:rPr>
      <w:rFonts w:ascii="Times New Roman" w:eastAsia="Times New Roman" w:hAnsi="Times New Roman" w:cs="Times New Roman"/>
      <w:lang w:val="zh-CN" w:eastAsia="zh-CN" w:bidi="zh-CN"/>
    </w:rPr>
  </w:style>
  <w:style w:type="character" w:customStyle="1" w:styleId="a9">
    <w:name w:val="表格标题_"/>
    <w:basedOn w:val="a0"/>
    <w:link w:val="aa"/>
    <w:qFormat/>
    <w:rPr>
      <w:rFonts w:ascii="宋体" w:eastAsia="宋体" w:hAnsi="宋体" w:cs="宋体"/>
      <w:b/>
      <w:bCs/>
      <w:sz w:val="18"/>
      <w:szCs w:val="18"/>
      <w:u w:val="none"/>
      <w:lang w:val="zh-CN" w:eastAsia="zh-CN" w:bidi="zh-CN"/>
    </w:rPr>
  </w:style>
  <w:style w:type="paragraph" w:customStyle="1" w:styleId="aa">
    <w:name w:val="表格标题"/>
    <w:basedOn w:val="a"/>
    <w:link w:val="a9"/>
    <w:qFormat/>
    <w:rPr>
      <w:rFonts w:ascii="宋体" w:eastAsia="宋体" w:hAnsi="宋体" w:cs="宋体"/>
      <w:b/>
      <w:bCs/>
      <w:sz w:val="18"/>
      <w:szCs w:val="18"/>
      <w:lang w:val="zh-CN" w:eastAsia="zh-CN" w:bidi="zh-CN"/>
    </w:rPr>
  </w:style>
  <w:style w:type="character" w:customStyle="1" w:styleId="ab">
    <w:name w:val="其他_"/>
    <w:basedOn w:val="a0"/>
    <w:link w:val="ac"/>
    <w:qFormat/>
    <w:rPr>
      <w:rFonts w:ascii="宋体" w:eastAsia="宋体" w:hAnsi="宋体" w:cs="宋体"/>
      <w:sz w:val="20"/>
      <w:szCs w:val="20"/>
      <w:u w:val="none"/>
      <w:lang w:val="zh-CN" w:eastAsia="zh-CN" w:bidi="zh-CN"/>
    </w:rPr>
  </w:style>
  <w:style w:type="paragraph" w:customStyle="1" w:styleId="ac">
    <w:name w:val="其他"/>
    <w:basedOn w:val="a"/>
    <w:link w:val="ab"/>
    <w:qFormat/>
    <w:pPr>
      <w:spacing w:line="334" w:lineRule="auto"/>
      <w:ind w:firstLine="400"/>
    </w:pPr>
    <w:rPr>
      <w:rFonts w:ascii="宋体" w:eastAsia="宋体" w:hAnsi="宋体" w:cs="宋体"/>
      <w:sz w:val="20"/>
      <w:szCs w:val="20"/>
      <w:lang w:val="zh-CN" w:eastAsia="zh-CN" w:bidi="zh-CN"/>
    </w:rPr>
  </w:style>
  <w:style w:type="character" w:customStyle="1" w:styleId="30">
    <w:name w:val="标题 3 字符"/>
    <w:link w:val="3"/>
    <w:qFormat/>
    <w:rPr>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oter" Target="footer7.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8.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6.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3AAC8D-3088-4D6D-A394-0F1DFF567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28</Pages>
  <Words>3859</Words>
  <Characters>22002</Characters>
  <Application>Microsoft Office Word</Application>
  <DocSecurity>0</DocSecurity>
  <Lines>183</Lines>
  <Paragraphs>51</Paragraphs>
  <ScaleCrop>false</ScaleCrop>
  <Company/>
  <LinksUpToDate>false</LinksUpToDate>
  <CharactersWithSpaces>25810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标题</dc:title>
  <dc:subject>科目</dc:subject>
  <dc:creator>作者</dc:creator>
  <cp:lastModifiedBy>ZH</cp:lastModifiedBy>
  <cp:revision>3</cp:revision>
  <dcterms:created xsi:type="dcterms:W3CDTF">2023-07-18T01:39:00Z</dcterms:created>
  <dcterms:modified xsi:type="dcterms:W3CDTF">2023-07-20T07:51:00Z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2DED74AABF084F1E8A2D6028BF824B91</vt:lpwstr>
  </property>
</Properties>
</file>